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AF9513" w14:textId="77777777" w:rsidR="00467574" w:rsidRDefault="00467574" w:rsidP="00467574">
      <w:pPr>
        <w:pStyle w:val="Heading1"/>
        <w:numPr>
          <w:ilvl w:val="0"/>
          <w:numId w:val="0"/>
        </w:numPr>
        <w:ind w:left="680"/>
      </w:pPr>
    </w:p>
    <w:p w14:paraId="01F94BEC" w14:textId="77777777" w:rsidR="00467574" w:rsidRDefault="00467574">
      <w:pPr>
        <w:spacing w:after="200" w:line="276" w:lineRule="auto"/>
        <w:jc w:val="left"/>
      </w:pPr>
      <w:r>
        <w:br w:type="page"/>
      </w:r>
    </w:p>
    <w:p w14:paraId="7348AC84" w14:textId="39FB6422" w:rsidR="007D6C4E" w:rsidRDefault="00211068">
      <w:pPr>
        <w:spacing w:after="200" w:line="276" w:lineRule="auto"/>
        <w:jc w:val="left"/>
        <w:rPr>
          <w:rFonts w:ascii="Century Gothic" w:hAnsi="Century Gothic"/>
          <w:b/>
          <w:color w:val="660066"/>
          <w:sz w:val="44"/>
          <w:szCs w:val="44"/>
        </w:rPr>
      </w:pPr>
      <w:r>
        <w:rPr>
          <w:rFonts w:ascii="Century Gothic" w:hAnsi="Century Gothic"/>
          <w:b/>
          <w:noProof/>
          <w:color w:val="660066"/>
          <w:sz w:val="44"/>
          <w:szCs w:val="44"/>
          <w:lang w:eastAsia="en-GB"/>
        </w:rPr>
        <w:lastRenderedPageBreak/>
        <w:drawing>
          <wp:anchor distT="0" distB="0" distL="114300" distR="114300" simplePos="0" relativeHeight="251660288" behindDoc="1" locked="0" layoutInCell="1" allowOverlap="1" wp14:anchorId="2DED45F7" wp14:editId="0A01FF72">
            <wp:simplePos x="0" y="0"/>
            <wp:positionH relativeFrom="column">
              <wp:posOffset>-114300</wp:posOffset>
            </wp:positionH>
            <wp:positionV relativeFrom="paragraph">
              <wp:posOffset>457200</wp:posOffset>
            </wp:positionV>
            <wp:extent cx="6171922" cy="8696081"/>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jpg"/>
                    <pic:cNvPicPr/>
                  </pic:nvPicPr>
                  <pic:blipFill>
                    <a:blip r:embed="rId9">
                      <a:extLst>
                        <a:ext uri="{28A0092B-C50C-407E-A947-70E740481C1C}">
                          <a14:useLocalDpi xmlns:a14="http://schemas.microsoft.com/office/drawing/2010/main" val="0"/>
                        </a:ext>
                      </a:extLst>
                    </a:blip>
                    <a:stretch>
                      <a:fillRect/>
                    </a:stretch>
                  </pic:blipFill>
                  <pic:spPr>
                    <a:xfrm>
                      <a:off x="0" y="0"/>
                      <a:ext cx="6172205" cy="8696479"/>
                    </a:xfrm>
                    <a:prstGeom prst="rect">
                      <a:avLst/>
                    </a:prstGeom>
                  </pic:spPr>
                </pic:pic>
              </a:graphicData>
            </a:graphic>
            <wp14:sizeRelH relativeFrom="page">
              <wp14:pctWidth>0</wp14:pctWidth>
            </wp14:sizeRelH>
            <wp14:sizeRelV relativeFrom="page">
              <wp14:pctHeight>0</wp14:pctHeight>
            </wp14:sizeRelV>
          </wp:anchor>
        </w:drawing>
      </w:r>
      <w:r w:rsidR="007D6C4E" w:rsidRPr="007D6C4E">
        <w:rPr>
          <w:rFonts w:ascii="Century Gothic" w:hAnsi="Century Gothic"/>
          <w:b/>
          <w:color w:val="660066"/>
          <w:sz w:val="44"/>
          <w:szCs w:val="44"/>
        </w:rPr>
        <w:t xml:space="preserve">Programme Performance – At a Glance </w:t>
      </w:r>
    </w:p>
    <w:p w14:paraId="24A42511" w14:textId="15DC281B" w:rsidR="00467574" w:rsidRPr="007D6C4E" w:rsidRDefault="00467574">
      <w:pPr>
        <w:spacing w:after="200" w:line="276" w:lineRule="auto"/>
        <w:jc w:val="left"/>
        <w:rPr>
          <w:rFonts w:ascii="Century Gothic" w:hAnsi="Century Gothic"/>
          <w:b/>
          <w:color w:val="660066"/>
          <w:sz w:val="44"/>
          <w:szCs w:val="44"/>
        </w:rPr>
      </w:pPr>
      <w:r w:rsidRPr="007D6C4E">
        <w:rPr>
          <w:rFonts w:ascii="Century Gothic" w:hAnsi="Century Gothic"/>
          <w:b/>
          <w:color w:val="660066"/>
          <w:sz w:val="44"/>
          <w:szCs w:val="44"/>
        </w:rPr>
        <w:br w:type="page"/>
      </w:r>
    </w:p>
    <w:p w14:paraId="7644F141" w14:textId="4B3CB716" w:rsidR="00467574" w:rsidRPr="007D6C4E" w:rsidRDefault="00467574" w:rsidP="00467574">
      <w:pPr>
        <w:spacing w:before="100" w:beforeAutospacing="1" w:after="100" w:afterAutospacing="1"/>
        <w:rPr>
          <w:rFonts w:ascii="Century Gothic" w:hAnsi="Century Gothic"/>
          <w:b/>
          <w:color w:val="660066"/>
          <w:sz w:val="44"/>
        </w:rPr>
      </w:pPr>
      <w:r w:rsidRPr="007D6C4E">
        <w:rPr>
          <w:rFonts w:ascii="Century Gothic" w:hAnsi="Century Gothic"/>
          <w:b/>
          <w:color w:val="660066"/>
          <w:sz w:val="44"/>
        </w:rPr>
        <w:lastRenderedPageBreak/>
        <w:t>C</w:t>
      </w:r>
      <w:r w:rsidR="007D6C4E">
        <w:rPr>
          <w:rFonts w:ascii="Century Gothic" w:hAnsi="Century Gothic"/>
          <w:b/>
          <w:color w:val="660066"/>
          <w:sz w:val="44"/>
        </w:rPr>
        <w:t>ontents</w:t>
      </w:r>
    </w:p>
    <w:p w14:paraId="4DE84891" w14:textId="3F46620A" w:rsidR="00467574" w:rsidRPr="001C2B51" w:rsidRDefault="00467574" w:rsidP="008773A0">
      <w:pPr>
        <w:pStyle w:val="Heading1"/>
        <w:numPr>
          <w:ilvl w:val="0"/>
          <w:numId w:val="0"/>
        </w:numPr>
        <w:spacing w:before="100" w:beforeAutospacing="1" w:after="100" w:afterAutospacing="1"/>
        <w:rPr>
          <w:sz w:val="24"/>
          <w:szCs w:val="24"/>
        </w:rPr>
      </w:pPr>
      <w:r w:rsidRPr="001C2B51">
        <w:rPr>
          <w:sz w:val="24"/>
          <w:szCs w:val="24"/>
        </w:rPr>
        <w:t xml:space="preserve">1. </w:t>
      </w:r>
      <w:r w:rsidR="00914D3A">
        <w:rPr>
          <w:sz w:val="24"/>
          <w:szCs w:val="24"/>
        </w:rPr>
        <w:t>Introduction</w:t>
      </w:r>
      <w:r w:rsidRPr="001C2B51">
        <w:rPr>
          <w:sz w:val="24"/>
          <w:szCs w:val="24"/>
        </w:rPr>
        <w:tab/>
      </w:r>
      <w:r w:rsidRPr="001C2B51">
        <w:rPr>
          <w:sz w:val="24"/>
          <w:szCs w:val="24"/>
        </w:rPr>
        <w:tab/>
      </w:r>
      <w:r w:rsidRPr="001C2B51">
        <w:rPr>
          <w:sz w:val="24"/>
          <w:szCs w:val="24"/>
        </w:rPr>
        <w:tab/>
      </w:r>
      <w:r w:rsidRPr="001C2B51">
        <w:rPr>
          <w:sz w:val="24"/>
          <w:szCs w:val="24"/>
        </w:rPr>
        <w:tab/>
      </w:r>
      <w:r w:rsidRPr="001C2B51">
        <w:rPr>
          <w:sz w:val="24"/>
          <w:szCs w:val="24"/>
        </w:rPr>
        <w:tab/>
      </w:r>
      <w:r w:rsidRPr="001C2B51">
        <w:rPr>
          <w:sz w:val="24"/>
          <w:szCs w:val="24"/>
        </w:rPr>
        <w:tab/>
      </w:r>
      <w:r w:rsidRPr="001C2B51">
        <w:rPr>
          <w:sz w:val="24"/>
          <w:szCs w:val="24"/>
        </w:rPr>
        <w:tab/>
      </w:r>
      <w:r w:rsidRPr="001C2B51">
        <w:rPr>
          <w:sz w:val="24"/>
          <w:szCs w:val="24"/>
        </w:rPr>
        <w:tab/>
      </w:r>
      <w:r>
        <w:rPr>
          <w:sz w:val="24"/>
          <w:szCs w:val="24"/>
        </w:rPr>
        <w:tab/>
      </w:r>
      <w:r w:rsidR="00E2595C">
        <w:rPr>
          <w:sz w:val="24"/>
          <w:szCs w:val="24"/>
        </w:rPr>
        <w:t>4</w:t>
      </w:r>
    </w:p>
    <w:p w14:paraId="57C1FD7D" w14:textId="507659AB" w:rsidR="00467574" w:rsidRPr="001C2B51" w:rsidRDefault="00467574" w:rsidP="008773A0">
      <w:pPr>
        <w:pStyle w:val="Heading1"/>
        <w:numPr>
          <w:ilvl w:val="0"/>
          <w:numId w:val="0"/>
        </w:numPr>
        <w:spacing w:before="100" w:beforeAutospacing="1" w:after="100" w:afterAutospacing="1"/>
        <w:ind w:left="680" w:hanging="680"/>
        <w:rPr>
          <w:sz w:val="24"/>
          <w:szCs w:val="24"/>
        </w:rPr>
      </w:pPr>
      <w:r w:rsidRPr="001C2B51">
        <w:rPr>
          <w:sz w:val="24"/>
          <w:szCs w:val="24"/>
        </w:rPr>
        <w:t xml:space="preserve">2. </w:t>
      </w:r>
      <w:r w:rsidR="00914D3A" w:rsidRPr="00914D3A">
        <w:rPr>
          <w:sz w:val="24"/>
          <w:szCs w:val="24"/>
        </w:rPr>
        <w:t>Strategy</w:t>
      </w:r>
      <w:r w:rsidRPr="001C2B51">
        <w:rPr>
          <w:sz w:val="24"/>
          <w:szCs w:val="24"/>
        </w:rPr>
        <w:tab/>
      </w:r>
      <w:r w:rsidRPr="001C2B51">
        <w:rPr>
          <w:sz w:val="24"/>
          <w:szCs w:val="24"/>
        </w:rPr>
        <w:tab/>
      </w:r>
      <w:r w:rsidRPr="001C2B51">
        <w:rPr>
          <w:sz w:val="24"/>
          <w:szCs w:val="24"/>
        </w:rPr>
        <w:tab/>
      </w:r>
      <w:r w:rsidRPr="001C2B51">
        <w:rPr>
          <w:sz w:val="24"/>
          <w:szCs w:val="24"/>
        </w:rPr>
        <w:tab/>
      </w:r>
      <w:r w:rsidRPr="001C2B51">
        <w:rPr>
          <w:sz w:val="24"/>
          <w:szCs w:val="24"/>
        </w:rPr>
        <w:tab/>
      </w:r>
      <w:r w:rsidR="00914D3A">
        <w:rPr>
          <w:sz w:val="24"/>
          <w:szCs w:val="24"/>
        </w:rPr>
        <w:tab/>
      </w:r>
      <w:r w:rsidR="00914D3A">
        <w:rPr>
          <w:sz w:val="24"/>
          <w:szCs w:val="24"/>
        </w:rPr>
        <w:tab/>
      </w:r>
      <w:r w:rsidR="00914D3A">
        <w:rPr>
          <w:sz w:val="24"/>
          <w:szCs w:val="24"/>
        </w:rPr>
        <w:tab/>
      </w:r>
      <w:r>
        <w:rPr>
          <w:sz w:val="24"/>
          <w:szCs w:val="24"/>
        </w:rPr>
        <w:tab/>
      </w:r>
      <w:r w:rsidR="00211068">
        <w:rPr>
          <w:sz w:val="24"/>
          <w:szCs w:val="24"/>
        </w:rPr>
        <w:tab/>
      </w:r>
      <w:r w:rsidR="00E2595C">
        <w:rPr>
          <w:sz w:val="24"/>
          <w:szCs w:val="24"/>
        </w:rPr>
        <w:t>4</w:t>
      </w:r>
      <w:r w:rsidRPr="001C2B51">
        <w:rPr>
          <w:b w:val="0"/>
          <w:sz w:val="24"/>
          <w:szCs w:val="24"/>
        </w:rPr>
        <w:tab/>
      </w:r>
    </w:p>
    <w:p w14:paraId="413227A8" w14:textId="25DB3589" w:rsidR="00774231" w:rsidRPr="00774231" w:rsidRDefault="00467574" w:rsidP="00774231">
      <w:pPr>
        <w:pStyle w:val="Heading1"/>
        <w:numPr>
          <w:ilvl w:val="0"/>
          <w:numId w:val="0"/>
        </w:numPr>
        <w:spacing w:before="100" w:beforeAutospacing="1" w:after="100" w:afterAutospacing="1"/>
        <w:ind w:left="680" w:hanging="680"/>
        <w:rPr>
          <w:sz w:val="24"/>
          <w:szCs w:val="24"/>
        </w:rPr>
      </w:pPr>
      <w:r w:rsidRPr="001C2B51">
        <w:rPr>
          <w:sz w:val="24"/>
          <w:szCs w:val="24"/>
        </w:rPr>
        <w:t>3.</w:t>
      </w:r>
      <w:r w:rsidR="00914D3A">
        <w:rPr>
          <w:sz w:val="24"/>
          <w:szCs w:val="24"/>
        </w:rPr>
        <w:t xml:space="preserve"> </w:t>
      </w:r>
      <w:r w:rsidR="00914D3A" w:rsidRPr="00914D3A">
        <w:rPr>
          <w:sz w:val="24"/>
          <w:szCs w:val="24"/>
        </w:rPr>
        <w:t>Governance</w:t>
      </w:r>
      <w:r w:rsidRPr="001C2B51">
        <w:rPr>
          <w:sz w:val="24"/>
          <w:szCs w:val="24"/>
        </w:rPr>
        <w:tab/>
      </w:r>
      <w:r w:rsidRPr="001C2B51">
        <w:rPr>
          <w:sz w:val="24"/>
          <w:szCs w:val="24"/>
        </w:rPr>
        <w:tab/>
      </w:r>
      <w:r w:rsidR="00914D3A">
        <w:rPr>
          <w:sz w:val="24"/>
          <w:szCs w:val="24"/>
        </w:rPr>
        <w:tab/>
      </w:r>
      <w:r w:rsidR="00914D3A">
        <w:rPr>
          <w:sz w:val="24"/>
          <w:szCs w:val="24"/>
        </w:rPr>
        <w:tab/>
      </w:r>
      <w:r w:rsidR="00914D3A">
        <w:rPr>
          <w:sz w:val="24"/>
          <w:szCs w:val="24"/>
        </w:rPr>
        <w:tab/>
      </w:r>
      <w:r w:rsidR="00914D3A">
        <w:rPr>
          <w:sz w:val="24"/>
          <w:szCs w:val="24"/>
        </w:rPr>
        <w:tab/>
      </w:r>
      <w:r w:rsidRPr="001C2B51">
        <w:rPr>
          <w:sz w:val="24"/>
          <w:szCs w:val="24"/>
        </w:rPr>
        <w:tab/>
      </w:r>
      <w:r>
        <w:rPr>
          <w:sz w:val="24"/>
          <w:szCs w:val="24"/>
        </w:rPr>
        <w:tab/>
      </w:r>
      <w:r w:rsidR="00211068">
        <w:rPr>
          <w:sz w:val="24"/>
          <w:szCs w:val="24"/>
        </w:rPr>
        <w:tab/>
      </w:r>
      <w:r w:rsidR="008773A0">
        <w:rPr>
          <w:sz w:val="24"/>
          <w:szCs w:val="24"/>
        </w:rPr>
        <w:t>7</w:t>
      </w:r>
    </w:p>
    <w:p w14:paraId="02DA0404" w14:textId="46761B18" w:rsidR="00774231" w:rsidRDefault="00467574" w:rsidP="00774231">
      <w:pPr>
        <w:pStyle w:val="Heading1"/>
        <w:numPr>
          <w:ilvl w:val="0"/>
          <w:numId w:val="0"/>
        </w:numPr>
        <w:spacing w:before="100" w:beforeAutospacing="1" w:after="100" w:afterAutospacing="1"/>
        <w:ind w:left="680" w:hanging="680"/>
        <w:rPr>
          <w:sz w:val="24"/>
          <w:szCs w:val="24"/>
        </w:rPr>
      </w:pPr>
      <w:r w:rsidRPr="001C2B51">
        <w:rPr>
          <w:sz w:val="24"/>
          <w:szCs w:val="24"/>
        </w:rPr>
        <w:t xml:space="preserve">4. </w:t>
      </w:r>
      <w:r w:rsidR="00774231">
        <w:rPr>
          <w:sz w:val="24"/>
          <w:szCs w:val="24"/>
        </w:rPr>
        <w:t>Establishing CLEP as a Company                                                   10</w:t>
      </w:r>
    </w:p>
    <w:p w14:paraId="29F28782" w14:textId="7FCFE3C5" w:rsidR="00467574" w:rsidRDefault="00774231" w:rsidP="008773A0">
      <w:pPr>
        <w:pStyle w:val="Heading1"/>
        <w:numPr>
          <w:ilvl w:val="0"/>
          <w:numId w:val="0"/>
        </w:numPr>
        <w:spacing w:before="100" w:beforeAutospacing="1" w:after="100" w:afterAutospacing="1"/>
        <w:ind w:left="680" w:hanging="680"/>
        <w:rPr>
          <w:sz w:val="24"/>
          <w:szCs w:val="24"/>
        </w:rPr>
      </w:pPr>
      <w:r>
        <w:rPr>
          <w:sz w:val="24"/>
          <w:szCs w:val="24"/>
        </w:rPr>
        <w:t xml:space="preserve">5. </w:t>
      </w:r>
      <w:r w:rsidR="008773A0">
        <w:rPr>
          <w:sz w:val="24"/>
          <w:szCs w:val="24"/>
        </w:rPr>
        <w:t xml:space="preserve">Delivery - </w:t>
      </w:r>
      <w:r w:rsidR="00914D3A" w:rsidRPr="00914D3A">
        <w:rPr>
          <w:sz w:val="24"/>
          <w:szCs w:val="24"/>
        </w:rPr>
        <w:t xml:space="preserve">Key </w:t>
      </w:r>
      <w:r w:rsidR="008773A0">
        <w:rPr>
          <w:sz w:val="24"/>
          <w:szCs w:val="24"/>
        </w:rPr>
        <w:t>I</w:t>
      </w:r>
      <w:r w:rsidR="00914D3A" w:rsidRPr="00914D3A">
        <w:rPr>
          <w:sz w:val="24"/>
          <w:szCs w:val="24"/>
        </w:rPr>
        <w:t>ndicators for the 2019/20 Delivery Plan</w:t>
      </w:r>
      <w:r w:rsidR="00467574" w:rsidRPr="001C2B51">
        <w:rPr>
          <w:sz w:val="24"/>
          <w:szCs w:val="24"/>
        </w:rPr>
        <w:tab/>
      </w:r>
      <w:r w:rsidR="008773A0">
        <w:rPr>
          <w:sz w:val="24"/>
          <w:szCs w:val="24"/>
        </w:rPr>
        <w:t xml:space="preserve">          </w:t>
      </w:r>
      <w:r>
        <w:rPr>
          <w:sz w:val="24"/>
          <w:szCs w:val="24"/>
        </w:rPr>
        <w:t>11</w:t>
      </w:r>
    </w:p>
    <w:p w14:paraId="6D63591A" w14:textId="7D966A37" w:rsidR="00914D3A" w:rsidRDefault="00774231" w:rsidP="00914D3A">
      <w:pPr>
        <w:pStyle w:val="Heading1"/>
        <w:numPr>
          <w:ilvl w:val="0"/>
          <w:numId w:val="0"/>
        </w:numPr>
        <w:rPr>
          <w:rFonts w:ascii="Arial" w:hAnsi="Arial" w:cs="Arial"/>
          <w:sz w:val="24"/>
          <w:szCs w:val="24"/>
        </w:rPr>
      </w:pPr>
      <w:r>
        <w:rPr>
          <w:rFonts w:ascii="Arial" w:hAnsi="Arial" w:cs="Arial"/>
          <w:sz w:val="24"/>
          <w:szCs w:val="24"/>
        </w:rPr>
        <w:t xml:space="preserve">6. </w:t>
      </w:r>
      <w:r w:rsidR="00914D3A" w:rsidRPr="005F53CF">
        <w:rPr>
          <w:rFonts w:ascii="Arial" w:hAnsi="Arial" w:cs="Arial"/>
          <w:sz w:val="24"/>
          <w:szCs w:val="24"/>
        </w:rPr>
        <w:t>Local Growth Fund Activity</w:t>
      </w:r>
      <w:r w:rsidR="00914D3A">
        <w:rPr>
          <w:rFonts w:ascii="Arial" w:hAnsi="Arial" w:cs="Arial"/>
          <w:sz w:val="24"/>
          <w:szCs w:val="24"/>
        </w:rPr>
        <w:tab/>
      </w:r>
      <w:r w:rsidR="00914D3A">
        <w:rPr>
          <w:rFonts w:ascii="Arial" w:hAnsi="Arial" w:cs="Arial"/>
          <w:sz w:val="24"/>
          <w:szCs w:val="24"/>
        </w:rPr>
        <w:tab/>
      </w:r>
      <w:r w:rsidR="00914D3A">
        <w:rPr>
          <w:rFonts w:ascii="Arial" w:hAnsi="Arial" w:cs="Arial"/>
          <w:sz w:val="24"/>
          <w:szCs w:val="24"/>
        </w:rPr>
        <w:tab/>
      </w:r>
      <w:r w:rsidR="00914D3A">
        <w:rPr>
          <w:rFonts w:ascii="Arial" w:hAnsi="Arial" w:cs="Arial"/>
          <w:sz w:val="24"/>
          <w:szCs w:val="24"/>
        </w:rPr>
        <w:tab/>
      </w:r>
      <w:r>
        <w:rPr>
          <w:rFonts w:ascii="Arial" w:hAnsi="Arial" w:cs="Arial"/>
          <w:sz w:val="24"/>
          <w:szCs w:val="24"/>
        </w:rPr>
        <w:t xml:space="preserve">                               11</w:t>
      </w:r>
    </w:p>
    <w:p w14:paraId="01B13402" w14:textId="1FD15CF1" w:rsidR="00914D3A" w:rsidRDefault="00774231" w:rsidP="00914D3A">
      <w:pPr>
        <w:pStyle w:val="Heading1"/>
        <w:numPr>
          <w:ilvl w:val="0"/>
          <w:numId w:val="0"/>
        </w:numPr>
        <w:ind w:left="680" w:hanging="680"/>
        <w:rPr>
          <w:rFonts w:ascii="Arial" w:hAnsi="Arial" w:cs="Arial"/>
          <w:sz w:val="24"/>
          <w:szCs w:val="24"/>
        </w:rPr>
      </w:pPr>
      <w:r>
        <w:rPr>
          <w:rFonts w:ascii="Arial" w:hAnsi="Arial" w:cs="Arial"/>
          <w:sz w:val="24"/>
          <w:szCs w:val="24"/>
        </w:rPr>
        <w:t xml:space="preserve">7. </w:t>
      </w:r>
      <w:r w:rsidR="00914D3A" w:rsidRPr="005F53CF">
        <w:rPr>
          <w:rFonts w:ascii="Arial" w:hAnsi="Arial" w:cs="Arial"/>
          <w:sz w:val="24"/>
          <w:szCs w:val="24"/>
        </w:rPr>
        <w:t>Other Funding or Growth Programmes</w:t>
      </w:r>
      <w:r w:rsidR="00914D3A">
        <w:rPr>
          <w:rFonts w:ascii="Arial" w:hAnsi="Arial" w:cs="Arial"/>
          <w:sz w:val="24"/>
          <w:szCs w:val="24"/>
        </w:rPr>
        <w:t xml:space="preserve"> </w:t>
      </w:r>
      <w:r w:rsidR="00914D3A">
        <w:rPr>
          <w:rFonts w:ascii="Arial" w:hAnsi="Arial" w:cs="Arial"/>
          <w:sz w:val="24"/>
          <w:szCs w:val="24"/>
        </w:rPr>
        <w:tab/>
      </w:r>
      <w:r w:rsidR="00914D3A">
        <w:rPr>
          <w:rFonts w:ascii="Arial" w:hAnsi="Arial" w:cs="Arial"/>
          <w:sz w:val="24"/>
          <w:szCs w:val="24"/>
        </w:rPr>
        <w:tab/>
      </w:r>
      <w:r w:rsidR="00914D3A">
        <w:rPr>
          <w:rFonts w:ascii="Arial" w:hAnsi="Arial" w:cs="Arial"/>
          <w:sz w:val="24"/>
          <w:szCs w:val="24"/>
        </w:rPr>
        <w:tab/>
      </w:r>
      <w:r>
        <w:rPr>
          <w:rFonts w:ascii="Arial" w:hAnsi="Arial" w:cs="Arial"/>
          <w:sz w:val="24"/>
          <w:szCs w:val="24"/>
        </w:rPr>
        <w:t xml:space="preserve">                     </w:t>
      </w:r>
      <w:r w:rsidR="00E2595C">
        <w:rPr>
          <w:rFonts w:ascii="Arial" w:hAnsi="Arial" w:cs="Arial"/>
          <w:sz w:val="24"/>
          <w:szCs w:val="24"/>
        </w:rPr>
        <w:t>1</w:t>
      </w:r>
      <w:r>
        <w:rPr>
          <w:rFonts w:ascii="Arial" w:hAnsi="Arial" w:cs="Arial"/>
          <w:sz w:val="24"/>
          <w:szCs w:val="24"/>
        </w:rPr>
        <w:t>5</w:t>
      </w:r>
    </w:p>
    <w:p w14:paraId="6AA15390" w14:textId="1BDF8D21" w:rsidR="00467574" w:rsidRPr="00914D3A" w:rsidRDefault="00774231" w:rsidP="00914D3A">
      <w:pPr>
        <w:pStyle w:val="Heading1"/>
        <w:numPr>
          <w:ilvl w:val="0"/>
          <w:numId w:val="0"/>
        </w:numPr>
        <w:ind w:left="680" w:hanging="680"/>
        <w:rPr>
          <w:rFonts w:ascii="Arial" w:hAnsi="Arial" w:cs="Arial"/>
          <w:sz w:val="24"/>
          <w:szCs w:val="24"/>
        </w:rPr>
      </w:pPr>
      <w:r>
        <w:rPr>
          <w:rFonts w:ascii="Arial" w:hAnsi="Arial" w:cs="Arial"/>
          <w:sz w:val="24"/>
          <w:szCs w:val="24"/>
        </w:rPr>
        <w:t>8</w:t>
      </w:r>
      <w:r w:rsidR="00914D3A">
        <w:rPr>
          <w:rFonts w:ascii="Arial" w:hAnsi="Arial" w:cs="Arial"/>
          <w:sz w:val="24"/>
          <w:szCs w:val="24"/>
        </w:rPr>
        <w:t>.</w:t>
      </w:r>
      <w:r>
        <w:rPr>
          <w:rFonts w:ascii="Arial" w:hAnsi="Arial" w:cs="Arial"/>
          <w:sz w:val="24"/>
          <w:szCs w:val="24"/>
        </w:rPr>
        <w:t xml:space="preserve"> Multi-LEP and Working Outside Cumbria</w:t>
      </w:r>
      <w:r w:rsidR="00914D3A">
        <w:rPr>
          <w:rFonts w:ascii="Arial" w:hAnsi="Arial" w:cs="Arial"/>
          <w:sz w:val="24"/>
          <w:szCs w:val="24"/>
        </w:rPr>
        <w:tab/>
      </w:r>
      <w:r w:rsidR="00914D3A">
        <w:rPr>
          <w:rFonts w:ascii="Arial" w:hAnsi="Arial" w:cs="Arial"/>
          <w:sz w:val="24"/>
          <w:szCs w:val="24"/>
        </w:rPr>
        <w:tab/>
      </w:r>
      <w:r w:rsidR="00914D3A">
        <w:rPr>
          <w:rFonts w:ascii="Arial" w:hAnsi="Arial" w:cs="Arial"/>
          <w:sz w:val="24"/>
          <w:szCs w:val="24"/>
        </w:rPr>
        <w:tab/>
      </w:r>
      <w:r w:rsidR="00914D3A">
        <w:rPr>
          <w:rFonts w:ascii="Arial" w:hAnsi="Arial" w:cs="Arial"/>
          <w:sz w:val="24"/>
          <w:szCs w:val="24"/>
        </w:rPr>
        <w:tab/>
      </w:r>
      <w:r>
        <w:rPr>
          <w:rFonts w:ascii="Arial" w:hAnsi="Arial" w:cs="Arial"/>
          <w:sz w:val="24"/>
          <w:szCs w:val="24"/>
        </w:rPr>
        <w:t>23</w:t>
      </w:r>
    </w:p>
    <w:p w14:paraId="3205DBE3" w14:textId="4706EB5D" w:rsidR="00914D3A" w:rsidRDefault="00914D3A" w:rsidP="00467574"/>
    <w:p w14:paraId="6F8020E7" w14:textId="143BD9B6" w:rsidR="00774231" w:rsidRDefault="00774231" w:rsidP="00774231">
      <w:pPr>
        <w:pStyle w:val="Heading2"/>
        <w:ind w:left="0"/>
        <w:rPr>
          <w:i w:val="0"/>
          <w:sz w:val="24"/>
          <w:szCs w:val="24"/>
        </w:rPr>
      </w:pPr>
      <w:r w:rsidRPr="00774231">
        <w:rPr>
          <w:i w:val="0"/>
          <w:sz w:val="24"/>
          <w:szCs w:val="24"/>
        </w:rPr>
        <w:t>Annex 1: Final Draft Local Industrial Strategy</w:t>
      </w:r>
    </w:p>
    <w:p w14:paraId="5D83CDA2" w14:textId="5F734807" w:rsidR="00F508E5" w:rsidRDefault="00F508E5" w:rsidP="00F508E5">
      <w:pPr>
        <w:pStyle w:val="Heading1"/>
        <w:numPr>
          <w:ilvl w:val="0"/>
          <w:numId w:val="0"/>
        </w:numPr>
        <w:rPr>
          <w:bCs/>
          <w:iCs/>
          <w:sz w:val="24"/>
          <w:szCs w:val="24"/>
        </w:rPr>
      </w:pPr>
      <w:r w:rsidRPr="00F508E5">
        <w:rPr>
          <w:bCs/>
          <w:iCs/>
          <w:sz w:val="24"/>
          <w:szCs w:val="24"/>
        </w:rPr>
        <w:t xml:space="preserve">Annex </w:t>
      </w:r>
      <w:r>
        <w:rPr>
          <w:bCs/>
          <w:iCs/>
          <w:sz w:val="24"/>
          <w:szCs w:val="24"/>
        </w:rPr>
        <w:t>2</w:t>
      </w:r>
      <w:r w:rsidRPr="00F508E5">
        <w:rPr>
          <w:bCs/>
          <w:iCs/>
          <w:sz w:val="24"/>
          <w:szCs w:val="24"/>
        </w:rPr>
        <w:t xml:space="preserve">: </w:t>
      </w:r>
      <w:r>
        <w:rPr>
          <w:bCs/>
          <w:iCs/>
          <w:sz w:val="24"/>
          <w:szCs w:val="24"/>
        </w:rPr>
        <w:t>Summary of Action Points</w:t>
      </w:r>
    </w:p>
    <w:p w14:paraId="620576C6" w14:textId="72456D68" w:rsidR="00AC5BE0" w:rsidRDefault="00AC5BE0" w:rsidP="00AC5BE0">
      <w:pPr>
        <w:pStyle w:val="Heading1"/>
        <w:numPr>
          <w:ilvl w:val="0"/>
          <w:numId w:val="0"/>
        </w:numPr>
        <w:rPr>
          <w:bCs/>
          <w:iCs/>
          <w:sz w:val="24"/>
          <w:szCs w:val="24"/>
        </w:rPr>
      </w:pPr>
      <w:r w:rsidRPr="00F508E5">
        <w:rPr>
          <w:bCs/>
          <w:iCs/>
          <w:sz w:val="24"/>
          <w:szCs w:val="24"/>
        </w:rPr>
        <w:t xml:space="preserve">Annex </w:t>
      </w:r>
      <w:r>
        <w:rPr>
          <w:bCs/>
          <w:iCs/>
          <w:sz w:val="24"/>
          <w:szCs w:val="24"/>
        </w:rPr>
        <w:t>3</w:t>
      </w:r>
      <w:r w:rsidRPr="00F508E5">
        <w:rPr>
          <w:bCs/>
          <w:iCs/>
          <w:sz w:val="24"/>
          <w:szCs w:val="24"/>
        </w:rPr>
        <w:t xml:space="preserve">: </w:t>
      </w:r>
      <w:r>
        <w:rPr>
          <w:bCs/>
          <w:iCs/>
          <w:sz w:val="24"/>
          <w:szCs w:val="24"/>
        </w:rPr>
        <w:t>Glossary of Terms</w:t>
      </w:r>
    </w:p>
    <w:p w14:paraId="73B71E92" w14:textId="77777777" w:rsidR="00AC5BE0" w:rsidRPr="00AC5BE0" w:rsidRDefault="00AC5BE0" w:rsidP="00AC5BE0">
      <w:pPr>
        <w:pStyle w:val="Heading1"/>
        <w:numPr>
          <w:ilvl w:val="0"/>
          <w:numId w:val="0"/>
        </w:numPr>
        <w:ind w:left="680" w:hanging="680"/>
      </w:pPr>
    </w:p>
    <w:p w14:paraId="4A0FB239" w14:textId="6BD03BB8" w:rsidR="00467574" w:rsidRPr="001C2B51" w:rsidRDefault="00467574" w:rsidP="00467574">
      <w:pPr>
        <w:pStyle w:val="Heading1"/>
        <w:numPr>
          <w:ilvl w:val="0"/>
          <w:numId w:val="0"/>
        </w:numPr>
        <w:rPr>
          <w:sz w:val="24"/>
          <w:szCs w:val="24"/>
        </w:rPr>
      </w:pPr>
      <w:r w:rsidRPr="001C2B51">
        <w:rPr>
          <w:sz w:val="24"/>
          <w:szCs w:val="24"/>
        </w:rPr>
        <w:t>Appendix A:</w:t>
      </w:r>
      <w:r w:rsidR="008564EC">
        <w:rPr>
          <w:sz w:val="24"/>
          <w:szCs w:val="24"/>
        </w:rPr>
        <w:t xml:space="preserve"> Governance Improvement Plan</w:t>
      </w:r>
      <w:r w:rsidRPr="001C2B51">
        <w:rPr>
          <w:sz w:val="24"/>
          <w:szCs w:val="24"/>
        </w:rPr>
        <w:tab/>
      </w:r>
      <w:r w:rsidRPr="001C2B51">
        <w:rPr>
          <w:sz w:val="24"/>
          <w:szCs w:val="24"/>
        </w:rPr>
        <w:tab/>
      </w:r>
      <w:r w:rsidRPr="001C2B51">
        <w:rPr>
          <w:sz w:val="24"/>
          <w:szCs w:val="24"/>
        </w:rPr>
        <w:tab/>
      </w:r>
      <w:r w:rsidRPr="001C2B51">
        <w:rPr>
          <w:sz w:val="24"/>
          <w:szCs w:val="24"/>
        </w:rPr>
        <w:tab/>
      </w:r>
    </w:p>
    <w:p w14:paraId="5893584A" w14:textId="71E3291E" w:rsidR="00467574" w:rsidRDefault="00914D3A">
      <w:pPr>
        <w:spacing w:after="200" w:line="276" w:lineRule="auto"/>
        <w:jc w:val="left"/>
        <w:rPr>
          <w:rFonts w:ascii="Century Gothic" w:hAnsi="Century Gothic"/>
          <w:b/>
          <w:color w:val="6B004B"/>
          <w:sz w:val="44"/>
          <w:szCs w:val="44"/>
        </w:rPr>
      </w:pPr>
      <w:r>
        <w:rPr>
          <w:noProof/>
          <w:lang w:eastAsia="en-GB"/>
        </w:rPr>
        <w:drawing>
          <wp:anchor distT="0" distB="0" distL="114300" distR="114300" simplePos="0" relativeHeight="251659264" behindDoc="1" locked="0" layoutInCell="1" allowOverlap="1" wp14:anchorId="61691616" wp14:editId="32AD562A">
            <wp:simplePos x="0" y="0"/>
            <wp:positionH relativeFrom="column">
              <wp:posOffset>-800100</wp:posOffset>
            </wp:positionH>
            <wp:positionV relativeFrom="paragraph">
              <wp:posOffset>2223135</wp:posOffset>
            </wp:positionV>
            <wp:extent cx="7595235" cy="29895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 bottom.jpg"/>
                    <pic:cNvPicPr/>
                  </pic:nvPicPr>
                  <pic:blipFill>
                    <a:blip r:embed="rId10">
                      <a:extLst>
                        <a:ext uri="{28A0092B-C50C-407E-A947-70E740481C1C}">
                          <a14:useLocalDpi xmlns:a14="http://schemas.microsoft.com/office/drawing/2010/main" val="0"/>
                        </a:ext>
                      </a:extLst>
                    </a:blip>
                    <a:stretch>
                      <a:fillRect/>
                    </a:stretch>
                  </pic:blipFill>
                  <pic:spPr>
                    <a:xfrm>
                      <a:off x="0" y="0"/>
                      <a:ext cx="7595235" cy="2989580"/>
                    </a:xfrm>
                    <a:prstGeom prst="rect">
                      <a:avLst/>
                    </a:prstGeom>
                  </pic:spPr>
                </pic:pic>
              </a:graphicData>
            </a:graphic>
            <wp14:sizeRelH relativeFrom="page">
              <wp14:pctWidth>0</wp14:pctWidth>
            </wp14:sizeRelH>
            <wp14:sizeRelV relativeFrom="page">
              <wp14:pctHeight>0</wp14:pctHeight>
            </wp14:sizeRelV>
          </wp:anchor>
        </w:drawing>
      </w:r>
      <w:r w:rsidR="00467574">
        <w:rPr>
          <w:rFonts w:ascii="Century Gothic" w:hAnsi="Century Gothic"/>
          <w:b/>
          <w:color w:val="6B004B"/>
          <w:sz w:val="44"/>
          <w:szCs w:val="44"/>
        </w:rPr>
        <w:br w:type="page"/>
      </w:r>
    </w:p>
    <w:p w14:paraId="2D3E84FC" w14:textId="77777777" w:rsidR="00467574" w:rsidRDefault="00467574">
      <w:pPr>
        <w:spacing w:after="200" w:line="276" w:lineRule="auto"/>
        <w:jc w:val="left"/>
        <w:rPr>
          <w:rFonts w:ascii="Century Gothic" w:hAnsi="Century Gothic"/>
          <w:b/>
          <w:color w:val="6B004B"/>
          <w:sz w:val="44"/>
          <w:szCs w:val="44"/>
        </w:rPr>
      </w:pPr>
    </w:p>
    <w:p w14:paraId="3ECB475A" w14:textId="35F6CFEC" w:rsidR="00240D6A" w:rsidRDefault="007F6DEE" w:rsidP="00EA2705">
      <w:pPr>
        <w:pStyle w:val="Heading1"/>
      </w:pPr>
      <w:r>
        <w:t>Introduction</w:t>
      </w:r>
    </w:p>
    <w:p w14:paraId="7AE9BE0B" w14:textId="41DFB7F9" w:rsidR="00E83E2C" w:rsidRPr="005F53CF" w:rsidRDefault="00E83E2C" w:rsidP="005F53CF">
      <w:pPr>
        <w:pStyle w:val="Heading5"/>
        <w:jc w:val="left"/>
        <w:rPr>
          <w:rFonts w:ascii="Arial" w:hAnsi="Arial" w:cs="Arial"/>
          <w:sz w:val="24"/>
          <w:szCs w:val="24"/>
        </w:rPr>
      </w:pPr>
      <w:r w:rsidRPr="005F53CF">
        <w:rPr>
          <w:rFonts w:ascii="Arial" w:hAnsi="Arial" w:cs="Arial"/>
          <w:sz w:val="24"/>
          <w:szCs w:val="24"/>
        </w:rPr>
        <w:t xml:space="preserve">The </w:t>
      </w:r>
      <w:r w:rsidR="007F6DEE" w:rsidRPr="005F53CF">
        <w:rPr>
          <w:rFonts w:ascii="Arial" w:hAnsi="Arial" w:cs="Arial"/>
          <w:sz w:val="24"/>
          <w:szCs w:val="24"/>
        </w:rPr>
        <w:t>Annual D</w:t>
      </w:r>
      <w:r w:rsidR="00B75D55" w:rsidRPr="005F53CF">
        <w:rPr>
          <w:rFonts w:ascii="Arial" w:hAnsi="Arial" w:cs="Arial"/>
          <w:sz w:val="24"/>
          <w:szCs w:val="24"/>
        </w:rPr>
        <w:t xml:space="preserve">elivery Plan is a new requirement </w:t>
      </w:r>
      <w:r w:rsidRPr="005F53CF">
        <w:rPr>
          <w:rFonts w:ascii="Arial" w:hAnsi="Arial" w:cs="Arial"/>
          <w:sz w:val="24"/>
          <w:szCs w:val="24"/>
        </w:rPr>
        <w:t xml:space="preserve">of </w:t>
      </w:r>
      <w:r w:rsidR="00B75D55" w:rsidRPr="005F53CF">
        <w:rPr>
          <w:rFonts w:ascii="Arial" w:hAnsi="Arial" w:cs="Arial"/>
          <w:sz w:val="24"/>
          <w:szCs w:val="24"/>
        </w:rPr>
        <w:t xml:space="preserve">all Local Enterprise Partnerships in response to the </w:t>
      </w:r>
      <w:r w:rsidRPr="005F53CF">
        <w:rPr>
          <w:rFonts w:ascii="Arial" w:hAnsi="Arial" w:cs="Arial"/>
          <w:sz w:val="24"/>
          <w:szCs w:val="24"/>
        </w:rPr>
        <w:t xml:space="preserve">“Strengthened Local Enterprise Partnerships” report produced by government in July 2018. The 2019/20 Annual Delivery Plan is a </w:t>
      </w:r>
      <w:r w:rsidR="00DF58A2">
        <w:rPr>
          <w:rFonts w:ascii="Arial" w:hAnsi="Arial" w:cs="Arial"/>
          <w:sz w:val="24"/>
          <w:szCs w:val="24"/>
        </w:rPr>
        <w:t>‘</w:t>
      </w:r>
      <w:r w:rsidRPr="005F53CF">
        <w:rPr>
          <w:rFonts w:ascii="Arial" w:hAnsi="Arial" w:cs="Arial"/>
          <w:sz w:val="24"/>
          <w:szCs w:val="24"/>
        </w:rPr>
        <w:t>light</w:t>
      </w:r>
      <w:r w:rsidR="00DF58A2">
        <w:rPr>
          <w:rFonts w:ascii="Arial" w:hAnsi="Arial" w:cs="Arial"/>
          <w:sz w:val="24"/>
          <w:szCs w:val="24"/>
        </w:rPr>
        <w:t>-</w:t>
      </w:r>
      <w:r w:rsidRPr="005F53CF">
        <w:rPr>
          <w:rFonts w:ascii="Arial" w:hAnsi="Arial" w:cs="Arial"/>
          <w:sz w:val="24"/>
          <w:szCs w:val="24"/>
        </w:rPr>
        <w:t>touch</w:t>
      </w:r>
      <w:r w:rsidR="00DF58A2">
        <w:rPr>
          <w:rFonts w:ascii="Arial" w:hAnsi="Arial" w:cs="Arial"/>
          <w:sz w:val="24"/>
          <w:szCs w:val="24"/>
        </w:rPr>
        <w:t>’</w:t>
      </w:r>
      <w:r w:rsidRPr="005F53CF">
        <w:rPr>
          <w:rFonts w:ascii="Arial" w:hAnsi="Arial" w:cs="Arial"/>
          <w:sz w:val="24"/>
          <w:szCs w:val="24"/>
        </w:rPr>
        <w:t xml:space="preserve"> version of documents that will be produced in future years, recognising that 2019/20 is a transitional year as LEPs </w:t>
      </w:r>
      <w:r w:rsidR="003436ED" w:rsidRPr="005F53CF">
        <w:rPr>
          <w:rFonts w:ascii="Arial" w:hAnsi="Arial" w:cs="Arial"/>
          <w:sz w:val="24"/>
          <w:szCs w:val="24"/>
        </w:rPr>
        <w:t xml:space="preserve">collectively work </w:t>
      </w:r>
      <w:r w:rsidRPr="005F53CF">
        <w:rPr>
          <w:rFonts w:ascii="Arial" w:hAnsi="Arial" w:cs="Arial"/>
          <w:sz w:val="24"/>
          <w:szCs w:val="24"/>
        </w:rPr>
        <w:t xml:space="preserve">with government to fully develop the expectations of the </w:t>
      </w:r>
      <w:r w:rsidR="00DF58A2">
        <w:rPr>
          <w:rFonts w:ascii="Arial" w:hAnsi="Arial" w:cs="Arial"/>
          <w:sz w:val="24"/>
          <w:szCs w:val="24"/>
        </w:rPr>
        <w:t xml:space="preserve">Annual </w:t>
      </w:r>
      <w:r w:rsidRPr="005F53CF">
        <w:rPr>
          <w:rFonts w:ascii="Arial" w:hAnsi="Arial" w:cs="Arial"/>
          <w:sz w:val="24"/>
          <w:szCs w:val="24"/>
        </w:rPr>
        <w:t xml:space="preserve">Delivery Plan. </w:t>
      </w:r>
    </w:p>
    <w:p w14:paraId="22838863" w14:textId="44C70E99" w:rsidR="00E83E2C" w:rsidRPr="005F53CF" w:rsidRDefault="003436ED" w:rsidP="005F53CF">
      <w:pPr>
        <w:pStyle w:val="Heading5"/>
        <w:jc w:val="left"/>
        <w:rPr>
          <w:rFonts w:ascii="Arial" w:hAnsi="Arial" w:cs="Arial"/>
          <w:sz w:val="24"/>
          <w:szCs w:val="24"/>
        </w:rPr>
      </w:pPr>
      <w:r w:rsidRPr="005F53CF">
        <w:rPr>
          <w:rFonts w:ascii="Arial" w:hAnsi="Arial" w:cs="Arial"/>
          <w:sz w:val="24"/>
          <w:szCs w:val="24"/>
        </w:rPr>
        <w:t xml:space="preserve">Cumbria LEP (CLEP) has structured its delivery plan around the three themes of the Annual Performance Review – Strategy, Governance and Delivery – with the focus of this report being primarily on </w:t>
      </w:r>
      <w:r w:rsidR="00DF58A2" w:rsidRPr="00DF58A2">
        <w:rPr>
          <w:rFonts w:ascii="Arial" w:hAnsi="Arial" w:cs="Arial"/>
          <w:sz w:val="24"/>
          <w:szCs w:val="24"/>
        </w:rPr>
        <w:t xml:space="preserve">the </w:t>
      </w:r>
      <w:r w:rsidR="00DF58A2">
        <w:rPr>
          <w:rFonts w:ascii="Arial" w:hAnsi="Arial" w:cs="Arial"/>
          <w:sz w:val="24"/>
          <w:szCs w:val="24"/>
        </w:rPr>
        <w:t>d</w:t>
      </w:r>
      <w:r w:rsidRPr="005F53CF">
        <w:rPr>
          <w:rFonts w:ascii="Arial" w:hAnsi="Arial" w:cs="Arial"/>
          <w:sz w:val="24"/>
          <w:szCs w:val="24"/>
        </w:rPr>
        <w:t xml:space="preserve">elivery aspects of all funded programmes and activity.  </w:t>
      </w:r>
      <w:r w:rsidRPr="005F53CF">
        <w:rPr>
          <w:rFonts w:ascii="Arial" w:hAnsi="Arial" w:cs="Arial"/>
          <w:sz w:val="24"/>
          <w:szCs w:val="24"/>
        </w:rPr>
        <w:br/>
      </w:r>
    </w:p>
    <w:p w14:paraId="398DC635" w14:textId="1D9D7B20" w:rsidR="003436ED" w:rsidRPr="007D6C4E" w:rsidRDefault="003436ED" w:rsidP="005F53CF">
      <w:pPr>
        <w:pStyle w:val="Heading1"/>
        <w:rPr>
          <w:rFonts w:cs="Arial"/>
        </w:rPr>
      </w:pPr>
      <w:r w:rsidRPr="007D6C4E">
        <w:rPr>
          <w:rFonts w:cs="Arial"/>
        </w:rPr>
        <w:t>Strategy</w:t>
      </w:r>
    </w:p>
    <w:p w14:paraId="168283DB" w14:textId="2C77F913" w:rsidR="00862867" w:rsidRDefault="00862867" w:rsidP="005F53CF">
      <w:pPr>
        <w:pStyle w:val="Heading5"/>
        <w:jc w:val="left"/>
        <w:rPr>
          <w:rFonts w:ascii="Arial" w:hAnsi="Arial" w:cs="Arial"/>
          <w:sz w:val="24"/>
          <w:szCs w:val="24"/>
        </w:rPr>
      </w:pPr>
      <w:r>
        <w:rPr>
          <w:rFonts w:ascii="Arial" w:hAnsi="Arial" w:cs="Arial"/>
          <w:sz w:val="24"/>
          <w:szCs w:val="24"/>
        </w:rPr>
        <w:t xml:space="preserve">Cumbria’s Strategic Economic Plan (SEP) was due </w:t>
      </w:r>
      <w:r w:rsidR="0027630B">
        <w:rPr>
          <w:rFonts w:ascii="Arial" w:hAnsi="Arial" w:cs="Arial"/>
          <w:sz w:val="24"/>
          <w:szCs w:val="24"/>
        </w:rPr>
        <w:t xml:space="preserve">to receive </w:t>
      </w:r>
      <w:r>
        <w:rPr>
          <w:rFonts w:ascii="Arial" w:hAnsi="Arial" w:cs="Arial"/>
          <w:sz w:val="24"/>
          <w:szCs w:val="24"/>
        </w:rPr>
        <w:t>a fundamental review in 2018/19 and rather than complete this</w:t>
      </w:r>
      <w:r w:rsidR="00312EDD">
        <w:rPr>
          <w:rFonts w:ascii="Arial" w:hAnsi="Arial" w:cs="Arial"/>
          <w:sz w:val="24"/>
          <w:szCs w:val="24"/>
        </w:rPr>
        <w:t>,</w:t>
      </w:r>
      <w:r>
        <w:rPr>
          <w:rFonts w:ascii="Arial" w:hAnsi="Arial" w:cs="Arial"/>
          <w:sz w:val="24"/>
          <w:szCs w:val="24"/>
        </w:rPr>
        <w:t xml:space="preserve"> the Board </w:t>
      </w:r>
      <w:r w:rsidR="00D50F64">
        <w:rPr>
          <w:rFonts w:ascii="Arial" w:hAnsi="Arial" w:cs="Arial"/>
          <w:sz w:val="24"/>
          <w:szCs w:val="24"/>
        </w:rPr>
        <w:t>decided and a</w:t>
      </w:r>
      <w:r>
        <w:rPr>
          <w:rFonts w:ascii="Arial" w:hAnsi="Arial" w:cs="Arial"/>
          <w:sz w:val="24"/>
          <w:szCs w:val="24"/>
        </w:rPr>
        <w:t xml:space="preserve">greed </w:t>
      </w:r>
      <w:r w:rsidR="00D50F64">
        <w:rPr>
          <w:rFonts w:ascii="Arial" w:hAnsi="Arial" w:cs="Arial"/>
          <w:sz w:val="24"/>
          <w:szCs w:val="24"/>
        </w:rPr>
        <w:t xml:space="preserve">with government </w:t>
      </w:r>
      <w:r>
        <w:rPr>
          <w:rFonts w:ascii="Arial" w:hAnsi="Arial" w:cs="Arial"/>
          <w:sz w:val="24"/>
          <w:szCs w:val="24"/>
        </w:rPr>
        <w:t xml:space="preserve">that CLEP should move with pace to the development of its Local Industrial Strategy. </w:t>
      </w:r>
    </w:p>
    <w:p w14:paraId="1A78EA0F" w14:textId="47394233" w:rsidR="00DF58A2" w:rsidRPr="005F53CF" w:rsidRDefault="00A23825" w:rsidP="005F53CF">
      <w:pPr>
        <w:pStyle w:val="Heading5"/>
        <w:jc w:val="left"/>
        <w:rPr>
          <w:rFonts w:ascii="Arial" w:hAnsi="Arial" w:cs="Arial"/>
          <w:sz w:val="24"/>
          <w:szCs w:val="24"/>
        </w:rPr>
      </w:pPr>
      <w:r w:rsidRPr="005F53CF">
        <w:rPr>
          <w:rFonts w:ascii="Arial" w:hAnsi="Arial" w:cs="Arial"/>
          <w:sz w:val="24"/>
          <w:szCs w:val="24"/>
        </w:rPr>
        <w:t xml:space="preserve">CLEP </w:t>
      </w:r>
      <w:r w:rsidR="0027630B">
        <w:rPr>
          <w:rFonts w:ascii="Arial" w:hAnsi="Arial" w:cs="Arial"/>
          <w:sz w:val="24"/>
          <w:szCs w:val="24"/>
        </w:rPr>
        <w:t xml:space="preserve">therefore </w:t>
      </w:r>
      <w:r w:rsidRPr="005F53CF">
        <w:rPr>
          <w:rFonts w:ascii="Arial" w:hAnsi="Arial" w:cs="Arial"/>
          <w:sz w:val="24"/>
          <w:szCs w:val="24"/>
        </w:rPr>
        <w:t xml:space="preserve">embarked on the development of </w:t>
      </w:r>
      <w:r w:rsidR="00DF58A2" w:rsidRPr="005F53CF">
        <w:rPr>
          <w:rFonts w:ascii="Arial" w:hAnsi="Arial" w:cs="Arial"/>
          <w:sz w:val="24"/>
          <w:szCs w:val="24"/>
        </w:rPr>
        <w:t xml:space="preserve">its </w:t>
      </w:r>
      <w:r w:rsidRPr="005F53CF">
        <w:rPr>
          <w:rFonts w:ascii="Arial" w:hAnsi="Arial" w:cs="Arial"/>
          <w:sz w:val="24"/>
          <w:szCs w:val="24"/>
        </w:rPr>
        <w:t xml:space="preserve">Local Industrial Strategy </w:t>
      </w:r>
      <w:r w:rsidR="00DF58A2">
        <w:rPr>
          <w:rFonts w:ascii="Arial" w:hAnsi="Arial" w:cs="Arial"/>
          <w:sz w:val="24"/>
          <w:szCs w:val="24"/>
        </w:rPr>
        <w:t xml:space="preserve">(LIS) </w:t>
      </w:r>
      <w:r w:rsidR="00A27835" w:rsidRPr="005F53CF">
        <w:rPr>
          <w:rFonts w:ascii="Arial" w:hAnsi="Arial" w:cs="Arial"/>
          <w:sz w:val="24"/>
          <w:szCs w:val="24"/>
        </w:rPr>
        <w:t>in 2018</w:t>
      </w:r>
      <w:r w:rsidR="00DF58A2" w:rsidRPr="005F53CF">
        <w:rPr>
          <w:rFonts w:ascii="Arial" w:hAnsi="Arial" w:cs="Arial"/>
          <w:sz w:val="24"/>
          <w:szCs w:val="24"/>
        </w:rPr>
        <w:t>, via a seven stage consultation process that ensured that all partners were fully engaged in the development of the strategy, as outlined below:</w:t>
      </w:r>
    </w:p>
    <w:p w14:paraId="644F59AA" w14:textId="77777777" w:rsidR="00DF58A2" w:rsidRPr="000A0127" w:rsidRDefault="00DF58A2" w:rsidP="005F53CF">
      <w:pPr>
        <w:pStyle w:val="Heading7"/>
        <w:rPr>
          <w:rFonts w:ascii="Arial" w:hAnsi="Arial" w:cs="Arial"/>
          <w:sz w:val="24"/>
          <w:szCs w:val="24"/>
        </w:rPr>
      </w:pPr>
      <w:r w:rsidRPr="000A0127">
        <w:rPr>
          <w:rFonts w:ascii="Arial" w:hAnsi="Arial" w:cs="Arial"/>
          <w:sz w:val="24"/>
          <w:szCs w:val="24"/>
        </w:rPr>
        <w:t>Stage 1 April 2018 – refreshing the focus of the partnership Steering Group</w:t>
      </w:r>
    </w:p>
    <w:p w14:paraId="68692FF9" w14:textId="77777777" w:rsidR="00DF58A2" w:rsidRPr="000A0127" w:rsidRDefault="00DF58A2" w:rsidP="005F53CF">
      <w:pPr>
        <w:pStyle w:val="Heading7"/>
        <w:rPr>
          <w:rFonts w:ascii="Arial" w:hAnsi="Arial" w:cs="Arial"/>
          <w:sz w:val="24"/>
          <w:szCs w:val="24"/>
        </w:rPr>
      </w:pPr>
      <w:r w:rsidRPr="000A0127">
        <w:rPr>
          <w:rFonts w:ascii="Arial" w:hAnsi="Arial" w:cs="Arial"/>
          <w:sz w:val="24"/>
          <w:szCs w:val="24"/>
        </w:rPr>
        <w:t>Stage 2 April 2018 ongoing – partnership awareness programme via presentations to a wide range of organisations and events</w:t>
      </w:r>
    </w:p>
    <w:p w14:paraId="25967317" w14:textId="119B1C6E" w:rsidR="00DF58A2" w:rsidRPr="000A0127" w:rsidRDefault="00DF58A2" w:rsidP="005F53CF">
      <w:pPr>
        <w:pStyle w:val="Heading7"/>
        <w:rPr>
          <w:rFonts w:ascii="Arial" w:hAnsi="Arial" w:cs="Arial"/>
          <w:sz w:val="24"/>
          <w:szCs w:val="24"/>
        </w:rPr>
      </w:pPr>
      <w:r w:rsidRPr="000A0127">
        <w:rPr>
          <w:rFonts w:ascii="Arial" w:hAnsi="Arial" w:cs="Arial"/>
          <w:sz w:val="24"/>
          <w:szCs w:val="24"/>
        </w:rPr>
        <w:t>Stage 3 July 2018 – securing partnership buy-in to the emerging evidence base and the headline issues through 4 partnership workshops</w:t>
      </w:r>
    </w:p>
    <w:p w14:paraId="393071CF" w14:textId="77777777" w:rsidR="00DF58A2" w:rsidRPr="000A0127" w:rsidRDefault="00DF58A2" w:rsidP="005F53CF">
      <w:pPr>
        <w:pStyle w:val="Heading7"/>
        <w:rPr>
          <w:rFonts w:ascii="Arial" w:hAnsi="Arial" w:cs="Arial"/>
          <w:sz w:val="24"/>
          <w:szCs w:val="24"/>
        </w:rPr>
      </w:pPr>
      <w:r w:rsidRPr="000A0127">
        <w:rPr>
          <w:rFonts w:ascii="Arial" w:hAnsi="Arial" w:cs="Arial"/>
          <w:sz w:val="24"/>
          <w:szCs w:val="24"/>
        </w:rPr>
        <w:t>Stage 4 October/November – partnership consultation events on the draft outline LIS</w:t>
      </w:r>
    </w:p>
    <w:p w14:paraId="7665CF1D" w14:textId="77777777" w:rsidR="00DF58A2" w:rsidRPr="000A0127" w:rsidRDefault="00DF58A2" w:rsidP="005F53CF">
      <w:pPr>
        <w:pStyle w:val="Heading7"/>
        <w:rPr>
          <w:rFonts w:ascii="Arial" w:hAnsi="Arial" w:cs="Arial"/>
          <w:sz w:val="24"/>
          <w:szCs w:val="24"/>
        </w:rPr>
      </w:pPr>
      <w:r w:rsidRPr="000A0127">
        <w:rPr>
          <w:rFonts w:ascii="Arial" w:hAnsi="Arial" w:cs="Arial"/>
          <w:sz w:val="24"/>
          <w:szCs w:val="24"/>
        </w:rPr>
        <w:t xml:space="preserve">Stage 5 – November – 14 December online consultation on the draft outline LIS  </w:t>
      </w:r>
    </w:p>
    <w:p w14:paraId="115D4509" w14:textId="77777777" w:rsidR="00DF58A2" w:rsidRPr="000A0127" w:rsidRDefault="00DF58A2" w:rsidP="005F53CF">
      <w:pPr>
        <w:pStyle w:val="Heading7"/>
        <w:rPr>
          <w:rFonts w:ascii="Arial" w:hAnsi="Arial" w:cs="Arial"/>
          <w:sz w:val="24"/>
          <w:szCs w:val="24"/>
        </w:rPr>
      </w:pPr>
      <w:r w:rsidRPr="000A0127">
        <w:rPr>
          <w:rFonts w:ascii="Arial" w:hAnsi="Arial" w:cs="Arial"/>
          <w:sz w:val="24"/>
          <w:szCs w:val="24"/>
        </w:rPr>
        <w:t>Stage 6 – mid/late February 2019 – partnership consultation events on full draft LIS</w:t>
      </w:r>
    </w:p>
    <w:p w14:paraId="7ECA9376" w14:textId="77777777" w:rsidR="00DF58A2" w:rsidRPr="000A0127" w:rsidRDefault="00DF58A2" w:rsidP="005F53CF">
      <w:pPr>
        <w:pStyle w:val="Heading7"/>
        <w:rPr>
          <w:rFonts w:ascii="Arial" w:hAnsi="Arial" w:cs="Arial"/>
          <w:sz w:val="24"/>
          <w:szCs w:val="24"/>
        </w:rPr>
      </w:pPr>
      <w:r w:rsidRPr="000A0127">
        <w:rPr>
          <w:rFonts w:ascii="Arial" w:hAnsi="Arial" w:cs="Arial"/>
          <w:sz w:val="24"/>
          <w:szCs w:val="24"/>
        </w:rPr>
        <w:t xml:space="preserve">Stage 7 – 11-23 March 2019 – online consultation on the final draft. </w:t>
      </w:r>
    </w:p>
    <w:p w14:paraId="4B80F6AA" w14:textId="04F5F8DF" w:rsidR="00DF58A2" w:rsidRPr="005F53CF" w:rsidRDefault="00F91A28" w:rsidP="00F91A28">
      <w:pPr>
        <w:pStyle w:val="Heading5"/>
        <w:numPr>
          <w:ilvl w:val="0"/>
          <w:numId w:val="0"/>
        </w:numPr>
        <w:tabs>
          <w:tab w:val="left" w:pos="1920"/>
        </w:tabs>
        <w:ind w:left="680"/>
        <w:jc w:val="left"/>
        <w:rPr>
          <w:rFonts w:ascii="Arial" w:hAnsi="Arial" w:cs="Arial"/>
          <w:sz w:val="24"/>
          <w:szCs w:val="24"/>
        </w:rPr>
      </w:pPr>
      <w:r>
        <w:rPr>
          <w:rFonts w:ascii="Arial" w:hAnsi="Arial" w:cs="Arial"/>
          <w:sz w:val="24"/>
          <w:szCs w:val="24"/>
        </w:rPr>
        <w:tab/>
      </w:r>
    </w:p>
    <w:p w14:paraId="702C3A4D" w14:textId="5D133162" w:rsidR="0027630B" w:rsidRDefault="00DF58A2" w:rsidP="005F53CF">
      <w:pPr>
        <w:pStyle w:val="Heading5"/>
        <w:jc w:val="left"/>
        <w:rPr>
          <w:rFonts w:ascii="Arial" w:hAnsi="Arial" w:cs="Arial"/>
          <w:sz w:val="24"/>
          <w:szCs w:val="24"/>
        </w:rPr>
      </w:pPr>
      <w:r>
        <w:rPr>
          <w:rFonts w:ascii="Arial" w:hAnsi="Arial" w:cs="Arial"/>
          <w:sz w:val="24"/>
          <w:szCs w:val="24"/>
        </w:rPr>
        <w:t>The LIS</w:t>
      </w:r>
      <w:r w:rsidR="0027630B">
        <w:rPr>
          <w:rFonts w:ascii="Arial" w:hAnsi="Arial" w:cs="Arial"/>
          <w:sz w:val="24"/>
          <w:szCs w:val="24"/>
        </w:rPr>
        <w:t xml:space="preserve"> has sought to respond to </w:t>
      </w:r>
      <w:r w:rsidR="00945B25">
        <w:rPr>
          <w:rFonts w:ascii="Arial" w:hAnsi="Arial" w:cs="Arial"/>
          <w:sz w:val="24"/>
          <w:szCs w:val="24"/>
        </w:rPr>
        <w:t xml:space="preserve">seven strategic imperatives </w:t>
      </w:r>
      <w:r w:rsidR="0027630B">
        <w:rPr>
          <w:rFonts w:ascii="Arial" w:hAnsi="Arial" w:cs="Arial"/>
          <w:sz w:val="24"/>
          <w:szCs w:val="24"/>
        </w:rPr>
        <w:t xml:space="preserve">(declining working age population; thin higher level skills; pockets of worklessness and deprivation; fewer business start-ups; less fast growing firms; patchy innovation; and infrastructure and connectivity related to a large predominantly rural geography), which need </w:t>
      </w:r>
      <w:r w:rsidR="00945B25">
        <w:rPr>
          <w:rFonts w:ascii="Arial" w:hAnsi="Arial" w:cs="Arial"/>
          <w:sz w:val="24"/>
          <w:szCs w:val="24"/>
        </w:rPr>
        <w:t>to be addressed in order to maximise Cumbria’s growth potential</w:t>
      </w:r>
      <w:r w:rsidR="0027630B">
        <w:rPr>
          <w:rFonts w:ascii="Arial" w:hAnsi="Arial" w:cs="Arial"/>
          <w:sz w:val="24"/>
          <w:szCs w:val="24"/>
        </w:rPr>
        <w:t xml:space="preserve">. The document has been structured around the five drivers of productivity, </w:t>
      </w:r>
      <w:r w:rsidR="00945B25">
        <w:rPr>
          <w:rFonts w:ascii="Arial" w:hAnsi="Arial" w:cs="Arial"/>
          <w:sz w:val="24"/>
          <w:szCs w:val="24"/>
        </w:rPr>
        <w:t xml:space="preserve">with a further overarching </w:t>
      </w:r>
      <w:r w:rsidR="0027630B">
        <w:rPr>
          <w:rFonts w:ascii="Arial" w:hAnsi="Arial" w:cs="Arial"/>
          <w:sz w:val="24"/>
          <w:szCs w:val="24"/>
        </w:rPr>
        <w:t xml:space="preserve">priority related to place marketing and promoting Cumbria as the place to live, work and invest, recognising that the area has the slowest growing population of any LEP area. </w:t>
      </w:r>
      <w:r w:rsidR="00945B25">
        <w:rPr>
          <w:rFonts w:ascii="Arial" w:hAnsi="Arial" w:cs="Arial"/>
          <w:sz w:val="24"/>
          <w:szCs w:val="24"/>
        </w:rPr>
        <w:t xml:space="preserve"> </w:t>
      </w:r>
      <w:r w:rsidR="000A0127">
        <w:rPr>
          <w:rFonts w:ascii="Arial" w:hAnsi="Arial" w:cs="Arial"/>
          <w:sz w:val="24"/>
          <w:szCs w:val="24"/>
        </w:rPr>
        <w:t>The key priorities are therefore as follows:</w:t>
      </w:r>
    </w:p>
    <w:p w14:paraId="445A76CF" w14:textId="77777777" w:rsidR="007D12C1" w:rsidRDefault="007D12C1" w:rsidP="007D12C1">
      <w:pPr>
        <w:pStyle w:val="Heading5"/>
        <w:numPr>
          <w:ilvl w:val="0"/>
          <w:numId w:val="0"/>
        </w:numPr>
        <w:ind w:left="680"/>
        <w:jc w:val="left"/>
        <w:rPr>
          <w:rFonts w:ascii="Arial" w:hAnsi="Arial" w:cs="Arial"/>
          <w:sz w:val="24"/>
          <w:szCs w:val="24"/>
        </w:rPr>
      </w:pPr>
    </w:p>
    <w:p w14:paraId="721FB007" w14:textId="6F3F9446" w:rsidR="000A0127" w:rsidRDefault="007D12C1" w:rsidP="000A0127">
      <w:pPr>
        <w:pStyle w:val="Heading5"/>
        <w:numPr>
          <w:ilvl w:val="0"/>
          <w:numId w:val="0"/>
        </w:numPr>
        <w:ind w:left="680"/>
        <w:jc w:val="left"/>
        <w:rPr>
          <w:rFonts w:ascii="Arial" w:hAnsi="Arial" w:cs="Arial"/>
          <w:sz w:val="24"/>
          <w:szCs w:val="24"/>
        </w:rPr>
      </w:pPr>
      <w:r>
        <w:rPr>
          <w:rFonts w:ascii="Arial" w:hAnsi="Arial" w:cs="Arial"/>
          <w:noProof/>
          <w:sz w:val="24"/>
          <w:szCs w:val="24"/>
          <w:lang w:eastAsia="en-GB"/>
        </w:rPr>
        <w:drawing>
          <wp:inline distT="0" distB="0" distL="0" distR="0" wp14:anchorId="3A1ECE1A" wp14:editId="7B71F00E">
            <wp:extent cx="5198108" cy="7253677"/>
            <wp:effectExtent l="0" t="0" r="317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561" cy="7257100"/>
                    </a:xfrm>
                    <a:prstGeom prst="rect">
                      <a:avLst/>
                    </a:prstGeom>
                    <a:noFill/>
                  </pic:spPr>
                </pic:pic>
              </a:graphicData>
            </a:graphic>
          </wp:inline>
        </w:drawing>
      </w:r>
    </w:p>
    <w:p w14:paraId="79182241" w14:textId="1EEBF0C6" w:rsidR="00945B25" w:rsidRDefault="00945B25" w:rsidP="000A0127">
      <w:pPr>
        <w:pStyle w:val="Heading5"/>
        <w:numPr>
          <w:ilvl w:val="0"/>
          <w:numId w:val="0"/>
        </w:numPr>
        <w:ind w:left="680"/>
        <w:jc w:val="left"/>
        <w:rPr>
          <w:rFonts w:ascii="Arial" w:hAnsi="Arial" w:cs="Arial"/>
          <w:sz w:val="24"/>
          <w:szCs w:val="24"/>
        </w:rPr>
      </w:pPr>
      <w:r>
        <w:rPr>
          <w:rFonts w:ascii="Arial" w:hAnsi="Arial" w:cs="Arial"/>
          <w:sz w:val="24"/>
          <w:szCs w:val="24"/>
        </w:rPr>
        <w:br/>
      </w:r>
    </w:p>
    <w:p w14:paraId="2D0C5EE5" w14:textId="233518D8" w:rsidR="00DF58A2" w:rsidRDefault="0027630B" w:rsidP="005F53CF">
      <w:pPr>
        <w:pStyle w:val="Heading5"/>
        <w:jc w:val="left"/>
        <w:rPr>
          <w:rFonts w:ascii="Arial" w:hAnsi="Arial" w:cs="Arial"/>
          <w:sz w:val="24"/>
          <w:szCs w:val="24"/>
        </w:rPr>
      </w:pPr>
      <w:r>
        <w:rPr>
          <w:rFonts w:ascii="Arial" w:hAnsi="Arial" w:cs="Arial"/>
          <w:sz w:val="24"/>
          <w:szCs w:val="24"/>
        </w:rPr>
        <w:t xml:space="preserve">The </w:t>
      </w:r>
      <w:r w:rsidR="00DF58A2">
        <w:rPr>
          <w:rFonts w:ascii="Arial" w:hAnsi="Arial" w:cs="Arial"/>
          <w:sz w:val="24"/>
          <w:szCs w:val="24"/>
        </w:rPr>
        <w:t xml:space="preserve">final draft </w:t>
      </w:r>
      <w:r>
        <w:rPr>
          <w:rFonts w:ascii="Arial" w:hAnsi="Arial" w:cs="Arial"/>
          <w:sz w:val="24"/>
          <w:szCs w:val="24"/>
        </w:rPr>
        <w:t xml:space="preserve">LIS </w:t>
      </w:r>
      <w:r w:rsidR="00B244B3">
        <w:rPr>
          <w:rFonts w:ascii="Arial" w:hAnsi="Arial" w:cs="Arial"/>
          <w:sz w:val="24"/>
          <w:szCs w:val="24"/>
        </w:rPr>
        <w:t>(A</w:t>
      </w:r>
      <w:r w:rsidR="00774231">
        <w:rPr>
          <w:rFonts w:ascii="Arial" w:hAnsi="Arial" w:cs="Arial"/>
          <w:sz w:val="24"/>
          <w:szCs w:val="24"/>
        </w:rPr>
        <w:t>nnex</w:t>
      </w:r>
      <w:r w:rsidR="00B244B3">
        <w:rPr>
          <w:rFonts w:ascii="Arial" w:hAnsi="Arial" w:cs="Arial"/>
          <w:sz w:val="24"/>
          <w:szCs w:val="24"/>
        </w:rPr>
        <w:t xml:space="preserve"> </w:t>
      </w:r>
      <w:r w:rsidR="00C37DAD">
        <w:rPr>
          <w:rFonts w:ascii="Arial" w:hAnsi="Arial" w:cs="Arial"/>
          <w:sz w:val="24"/>
          <w:szCs w:val="24"/>
        </w:rPr>
        <w:t>1</w:t>
      </w:r>
      <w:r w:rsidR="00B244B3">
        <w:rPr>
          <w:rFonts w:ascii="Arial" w:hAnsi="Arial" w:cs="Arial"/>
          <w:sz w:val="24"/>
          <w:szCs w:val="24"/>
        </w:rPr>
        <w:t xml:space="preserve">) </w:t>
      </w:r>
      <w:r>
        <w:rPr>
          <w:rFonts w:ascii="Arial" w:hAnsi="Arial" w:cs="Arial"/>
          <w:sz w:val="24"/>
          <w:szCs w:val="24"/>
        </w:rPr>
        <w:t xml:space="preserve">was produced </w:t>
      </w:r>
      <w:r w:rsidR="00862867">
        <w:rPr>
          <w:rFonts w:ascii="Arial" w:hAnsi="Arial" w:cs="Arial"/>
          <w:sz w:val="24"/>
          <w:szCs w:val="24"/>
        </w:rPr>
        <w:t>in March 201</w:t>
      </w:r>
      <w:r w:rsidR="00B244B3">
        <w:rPr>
          <w:rFonts w:ascii="Arial" w:hAnsi="Arial" w:cs="Arial"/>
          <w:sz w:val="24"/>
          <w:szCs w:val="24"/>
        </w:rPr>
        <w:t xml:space="preserve">9 and submitted to government, </w:t>
      </w:r>
      <w:r w:rsidR="00DF58A2">
        <w:rPr>
          <w:rFonts w:ascii="Arial" w:hAnsi="Arial" w:cs="Arial"/>
          <w:sz w:val="24"/>
          <w:szCs w:val="24"/>
        </w:rPr>
        <w:t xml:space="preserve">following approval by the CLEP Board on 29 March 2019. Initial conversations </w:t>
      </w:r>
      <w:r w:rsidR="00B244B3">
        <w:rPr>
          <w:rFonts w:ascii="Arial" w:hAnsi="Arial" w:cs="Arial"/>
          <w:sz w:val="24"/>
          <w:szCs w:val="24"/>
        </w:rPr>
        <w:t xml:space="preserve">took </w:t>
      </w:r>
      <w:r w:rsidR="00DF58A2">
        <w:rPr>
          <w:rFonts w:ascii="Arial" w:hAnsi="Arial" w:cs="Arial"/>
          <w:sz w:val="24"/>
          <w:szCs w:val="24"/>
        </w:rPr>
        <w:t xml:space="preserve">place </w:t>
      </w:r>
      <w:r w:rsidR="00B244B3">
        <w:rPr>
          <w:rFonts w:ascii="Arial" w:hAnsi="Arial" w:cs="Arial"/>
          <w:sz w:val="24"/>
          <w:szCs w:val="24"/>
        </w:rPr>
        <w:t xml:space="preserve">with government during late March and early April </w:t>
      </w:r>
      <w:r w:rsidR="00DF58A2">
        <w:rPr>
          <w:rFonts w:ascii="Arial" w:hAnsi="Arial" w:cs="Arial"/>
          <w:sz w:val="24"/>
          <w:szCs w:val="24"/>
        </w:rPr>
        <w:t xml:space="preserve">on the content of the LIS, including </w:t>
      </w:r>
      <w:r w:rsidR="00221125">
        <w:rPr>
          <w:rFonts w:ascii="Arial" w:hAnsi="Arial" w:cs="Arial"/>
          <w:sz w:val="24"/>
          <w:szCs w:val="24"/>
        </w:rPr>
        <w:t xml:space="preserve">with </w:t>
      </w:r>
      <w:r w:rsidR="00DF58A2">
        <w:rPr>
          <w:rFonts w:ascii="Arial" w:hAnsi="Arial" w:cs="Arial"/>
          <w:sz w:val="24"/>
          <w:szCs w:val="24"/>
        </w:rPr>
        <w:t xml:space="preserve">analysts on the underpinning evidence base. </w:t>
      </w:r>
    </w:p>
    <w:p w14:paraId="4000FD37" w14:textId="6B59263A" w:rsidR="004B7A64" w:rsidRDefault="00B244B3" w:rsidP="005F53CF">
      <w:pPr>
        <w:pStyle w:val="Heading5"/>
        <w:jc w:val="left"/>
        <w:rPr>
          <w:rFonts w:ascii="Arial" w:hAnsi="Arial" w:cs="Arial"/>
          <w:sz w:val="24"/>
          <w:szCs w:val="24"/>
        </w:rPr>
      </w:pPr>
      <w:r>
        <w:rPr>
          <w:rFonts w:ascii="Arial" w:hAnsi="Arial" w:cs="Arial"/>
          <w:sz w:val="24"/>
          <w:szCs w:val="24"/>
        </w:rPr>
        <w:t xml:space="preserve">CLEP’s </w:t>
      </w:r>
      <w:r w:rsidR="00312EDD">
        <w:rPr>
          <w:rFonts w:ascii="Arial" w:hAnsi="Arial" w:cs="Arial"/>
          <w:sz w:val="24"/>
          <w:szCs w:val="24"/>
        </w:rPr>
        <w:t xml:space="preserve">strategic </w:t>
      </w:r>
      <w:r w:rsidR="00DF58A2">
        <w:rPr>
          <w:rFonts w:ascii="Arial" w:hAnsi="Arial" w:cs="Arial"/>
          <w:sz w:val="24"/>
          <w:szCs w:val="24"/>
        </w:rPr>
        <w:t xml:space="preserve">priority for 2019/20 is therefore the finalisation of </w:t>
      </w:r>
      <w:r>
        <w:rPr>
          <w:rFonts w:ascii="Arial" w:hAnsi="Arial" w:cs="Arial"/>
          <w:sz w:val="24"/>
          <w:szCs w:val="24"/>
        </w:rPr>
        <w:t xml:space="preserve">the LIS, </w:t>
      </w:r>
      <w:r w:rsidR="00221125">
        <w:rPr>
          <w:rFonts w:ascii="Arial" w:hAnsi="Arial" w:cs="Arial"/>
          <w:sz w:val="24"/>
          <w:szCs w:val="24"/>
        </w:rPr>
        <w:t xml:space="preserve">through </w:t>
      </w:r>
      <w:r>
        <w:rPr>
          <w:rFonts w:ascii="Arial" w:hAnsi="Arial" w:cs="Arial"/>
          <w:sz w:val="24"/>
          <w:szCs w:val="24"/>
        </w:rPr>
        <w:t>a process of co-production</w:t>
      </w:r>
      <w:r w:rsidR="00DF58A2">
        <w:rPr>
          <w:rFonts w:ascii="Arial" w:hAnsi="Arial" w:cs="Arial"/>
          <w:sz w:val="24"/>
          <w:szCs w:val="24"/>
        </w:rPr>
        <w:t xml:space="preserve"> with </w:t>
      </w:r>
      <w:r w:rsidR="004B7A64">
        <w:rPr>
          <w:rFonts w:ascii="Arial" w:hAnsi="Arial" w:cs="Arial"/>
          <w:sz w:val="24"/>
          <w:szCs w:val="24"/>
        </w:rPr>
        <w:t>government. This finalisation will focus on jointly addressing the following issues</w:t>
      </w:r>
      <w:r w:rsidR="00312EDD">
        <w:rPr>
          <w:rFonts w:ascii="Arial" w:hAnsi="Arial" w:cs="Arial"/>
          <w:sz w:val="24"/>
          <w:szCs w:val="24"/>
        </w:rPr>
        <w:t>,</w:t>
      </w:r>
      <w:r w:rsidR="004B7A64">
        <w:rPr>
          <w:rFonts w:ascii="Arial" w:hAnsi="Arial" w:cs="Arial"/>
          <w:sz w:val="24"/>
          <w:szCs w:val="24"/>
        </w:rPr>
        <w:t xml:space="preserve"> which have been identified as priorities through the in</w:t>
      </w:r>
      <w:r>
        <w:rPr>
          <w:rFonts w:ascii="Arial" w:hAnsi="Arial" w:cs="Arial"/>
          <w:sz w:val="24"/>
          <w:szCs w:val="24"/>
        </w:rPr>
        <w:t>i</w:t>
      </w:r>
      <w:r w:rsidR="004B7A64">
        <w:rPr>
          <w:rFonts w:ascii="Arial" w:hAnsi="Arial" w:cs="Arial"/>
          <w:sz w:val="24"/>
          <w:szCs w:val="24"/>
        </w:rPr>
        <w:t>tial feedback sessions:</w:t>
      </w:r>
    </w:p>
    <w:p w14:paraId="0F165A73" w14:textId="18200C8F" w:rsidR="004B7A64" w:rsidRPr="000A0127" w:rsidRDefault="004B7A64" w:rsidP="005F53CF">
      <w:pPr>
        <w:pStyle w:val="Heading7"/>
        <w:rPr>
          <w:rFonts w:ascii="Arial" w:hAnsi="Arial" w:cs="Arial"/>
          <w:sz w:val="24"/>
          <w:szCs w:val="24"/>
        </w:rPr>
      </w:pPr>
      <w:r w:rsidRPr="000A0127">
        <w:rPr>
          <w:rFonts w:ascii="Arial" w:hAnsi="Arial" w:cs="Arial"/>
          <w:b/>
          <w:i/>
          <w:sz w:val="24"/>
          <w:szCs w:val="24"/>
        </w:rPr>
        <w:t>Structure and Style</w:t>
      </w:r>
      <w:r w:rsidRPr="000A0127">
        <w:rPr>
          <w:rFonts w:ascii="Arial" w:hAnsi="Arial" w:cs="Arial"/>
          <w:sz w:val="24"/>
          <w:szCs w:val="24"/>
        </w:rPr>
        <w:t xml:space="preserve"> – refining the document to meet government’s style guide once this is available and simplifying the flow through from strategic imperatives to </w:t>
      </w:r>
      <w:r w:rsidR="00862867" w:rsidRPr="000A0127">
        <w:rPr>
          <w:rFonts w:ascii="Arial" w:hAnsi="Arial" w:cs="Arial"/>
          <w:sz w:val="24"/>
          <w:szCs w:val="24"/>
        </w:rPr>
        <w:t xml:space="preserve">delivery </w:t>
      </w:r>
      <w:r w:rsidRPr="000A0127">
        <w:rPr>
          <w:rFonts w:ascii="Arial" w:hAnsi="Arial" w:cs="Arial"/>
          <w:sz w:val="24"/>
          <w:szCs w:val="24"/>
        </w:rPr>
        <w:t>priorities;</w:t>
      </w:r>
    </w:p>
    <w:p w14:paraId="561C6725" w14:textId="77777777" w:rsidR="00F91A28" w:rsidRDefault="004B7A64" w:rsidP="005F53CF">
      <w:pPr>
        <w:pStyle w:val="Heading7"/>
        <w:jc w:val="left"/>
        <w:rPr>
          <w:rFonts w:ascii="Arial" w:hAnsi="Arial" w:cs="Arial"/>
          <w:sz w:val="24"/>
          <w:szCs w:val="24"/>
        </w:rPr>
      </w:pPr>
      <w:r w:rsidRPr="000A0127">
        <w:rPr>
          <w:rFonts w:ascii="Arial" w:hAnsi="Arial" w:cs="Arial"/>
          <w:b/>
          <w:i/>
          <w:sz w:val="24"/>
          <w:szCs w:val="24"/>
        </w:rPr>
        <w:t>Evidence Base</w:t>
      </w:r>
      <w:r w:rsidRPr="000A0127">
        <w:rPr>
          <w:rFonts w:ascii="Arial" w:hAnsi="Arial" w:cs="Arial"/>
          <w:sz w:val="24"/>
          <w:szCs w:val="24"/>
        </w:rPr>
        <w:t xml:space="preserve"> – sharpening this further in line with the fee</w:t>
      </w:r>
      <w:r w:rsidR="00862867" w:rsidRPr="000A0127">
        <w:rPr>
          <w:rFonts w:ascii="Arial" w:hAnsi="Arial" w:cs="Arial"/>
          <w:sz w:val="24"/>
          <w:szCs w:val="24"/>
        </w:rPr>
        <w:t>dback from analysts;</w:t>
      </w:r>
    </w:p>
    <w:p w14:paraId="51C71212" w14:textId="77777777" w:rsidR="00C37DAD" w:rsidRDefault="00F91A28" w:rsidP="0012331F">
      <w:pPr>
        <w:pStyle w:val="Heading7"/>
        <w:spacing w:after="0"/>
        <w:jc w:val="left"/>
        <w:rPr>
          <w:rFonts w:ascii="Arial" w:hAnsi="Arial" w:cs="Arial"/>
          <w:sz w:val="24"/>
          <w:szCs w:val="24"/>
        </w:rPr>
      </w:pPr>
      <w:r w:rsidRPr="00C37DAD">
        <w:rPr>
          <w:rFonts w:ascii="Arial" w:hAnsi="Arial" w:cs="Arial"/>
          <w:b/>
          <w:i/>
          <w:sz w:val="24"/>
          <w:szCs w:val="24"/>
        </w:rPr>
        <w:t xml:space="preserve">Natural Capital </w:t>
      </w:r>
      <w:r w:rsidRPr="00C37DAD">
        <w:rPr>
          <w:rFonts w:ascii="Arial" w:hAnsi="Arial" w:cs="Arial"/>
          <w:sz w:val="24"/>
          <w:szCs w:val="24"/>
        </w:rPr>
        <w:t>– developing methodology to better quantify the value of this;</w:t>
      </w:r>
    </w:p>
    <w:p w14:paraId="18C7E990" w14:textId="5AA0996D" w:rsidR="004B7A64" w:rsidRDefault="00B42ACF" w:rsidP="00F508E5">
      <w:pPr>
        <w:pStyle w:val="Heading7"/>
        <w:spacing w:after="0"/>
        <w:jc w:val="left"/>
      </w:pPr>
      <w:r w:rsidRPr="00C37DAD">
        <w:rPr>
          <w:rFonts w:ascii="Arial" w:hAnsi="Arial" w:cs="Arial"/>
          <w:b/>
          <w:i/>
          <w:sz w:val="24"/>
          <w:szCs w:val="24"/>
        </w:rPr>
        <w:t>Executive Summary</w:t>
      </w:r>
      <w:r w:rsidRPr="00C37DAD">
        <w:rPr>
          <w:rFonts w:ascii="Arial" w:hAnsi="Arial" w:cs="Arial"/>
          <w:sz w:val="24"/>
          <w:szCs w:val="24"/>
        </w:rPr>
        <w:t xml:space="preserve"> – developing this once re-structuring work on the LIS is further advanced.</w:t>
      </w:r>
      <w:r w:rsidR="00F508E5" w:rsidRPr="000A0127">
        <w:rPr>
          <w:rFonts w:ascii="Arial" w:hAnsi="Arial" w:cs="Arial"/>
          <w:sz w:val="24"/>
          <w:szCs w:val="24"/>
        </w:rPr>
        <w:t xml:space="preserve"> </w:t>
      </w:r>
      <w:r w:rsidR="004B7A64" w:rsidRPr="000A0127">
        <w:rPr>
          <w:rFonts w:ascii="Arial" w:hAnsi="Arial" w:cs="Arial"/>
          <w:sz w:val="24"/>
          <w:szCs w:val="24"/>
        </w:rPr>
        <w:br/>
      </w:r>
    </w:p>
    <w:p w14:paraId="6DBC7B46" w14:textId="407B5FE1" w:rsidR="00E93FD0" w:rsidRDefault="00E93FD0" w:rsidP="00D47CCA">
      <w:pPr>
        <w:pStyle w:val="Heading5"/>
        <w:rPr>
          <w:rFonts w:ascii="Arial" w:hAnsi="Arial" w:cs="Arial"/>
          <w:sz w:val="24"/>
          <w:szCs w:val="24"/>
        </w:rPr>
      </w:pPr>
      <w:r w:rsidRPr="005F53CF">
        <w:rPr>
          <w:rFonts w:ascii="Arial" w:hAnsi="Arial" w:cs="Arial"/>
          <w:sz w:val="24"/>
          <w:szCs w:val="24"/>
        </w:rPr>
        <w:t xml:space="preserve">Initial work on target setting </w:t>
      </w:r>
      <w:r w:rsidR="00A27835" w:rsidRPr="005F53CF">
        <w:rPr>
          <w:rFonts w:ascii="Arial" w:hAnsi="Arial" w:cs="Arial"/>
          <w:sz w:val="24"/>
          <w:szCs w:val="24"/>
        </w:rPr>
        <w:t xml:space="preserve">for the LIS </w:t>
      </w:r>
      <w:r w:rsidRPr="005F53CF">
        <w:rPr>
          <w:rFonts w:ascii="Arial" w:hAnsi="Arial" w:cs="Arial"/>
          <w:sz w:val="24"/>
          <w:szCs w:val="24"/>
        </w:rPr>
        <w:t xml:space="preserve">has identified two overall targets for </w:t>
      </w:r>
      <w:r w:rsidR="007B6FCC" w:rsidRPr="005F53CF">
        <w:rPr>
          <w:rFonts w:ascii="Arial" w:hAnsi="Arial" w:cs="Arial"/>
          <w:sz w:val="24"/>
          <w:szCs w:val="24"/>
        </w:rPr>
        <w:t>the</w:t>
      </w:r>
      <w:r w:rsidRPr="005F53CF">
        <w:rPr>
          <w:rFonts w:ascii="Arial" w:hAnsi="Arial" w:cs="Arial"/>
          <w:sz w:val="24"/>
          <w:szCs w:val="24"/>
        </w:rPr>
        <w:t xml:space="preserve"> 10</w:t>
      </w:r>
      <w:r w:rsidR="00C37DAD">
        <w:rPr>
          <w:rFonts w:ascii="Arial" w:hAnsi="Arial" w:cs="Arial"/>
          <w:sz w:val="24"/>
          <w:szCs w:val="24"/>
        </w:rPr>
        <w:t>-</w:t>
      </w:r>
      <w:r w:rsidRPr="005F53CF">
        <w:rPr>
          <w:rFonts w:ascii="Arial" w:hAnsi="Arial" w:cs="Arial"/>
          <w:sz w:val="24"/>
          <w:szCs w:val="24"/>
        </w:rPr>
        <w:t xml:space="preserve"> </w:t>
      </w:r>
      <w:r w:rsidR="00DE0994" w:rsidRPr="005F53CF">
        <w:rPr>
          <w:rFonts w:ascii="Arial" w:hAnsi="Arial" w:cs="Arial"/>
          <w:sz w:val="24"/>
          <w:szCs w:val="24"/>
        </w:rPr>
        <w:t>year</w:t>
      </w:r>
      <w:r w:rsidRPr="005F53CF">
        <w:rPr>
          <w:rFonts w:ascii="Arial" w:hAnsi="Arial" w:cs="Arial"/>
          <w:sz w:val="24"/>
          <w:szCs w:val="24"/>
        </w:rPr>
        <w:t xml:space="preserve"> </w:t>
      </w:r>
      <w:r w:rsidR="00C37DAD">
        <w:rPr>
          <w:rFonts w:ascii="Arial" w:hAnsi="Arial" w:cs="Arial"/>
          <w:sz w:val="24"/>
          <w:szCs w:val="24"/>
        </w:rPr>
        <w:t>period of the strategy</w:t>
      </w:r>
      <w:r w:rsidRPr="005F53CF">
        <w:rPr>
          <w:rFonts w:ascii="Arial" w:hAnsi="Arial" w:cs="Arial"/>
          <w:sz w:val="24"/>
          <w:szCs w:val="24"/>
        </w:rPr>
        <w:t xml:space="preserve">: to </w:t>
      </w:r>
      <w:r w:rsidRPr="005F53CF">
        <w:rPr>
          <w:rFonts w:ascii="Arial" w:hAnsi="Arial" w:cs="Arial"/>
          <w:b/>
          <w:sz w:val="24"/>
          <w:szCs w:val="24"/>
        </w:rPr>
        <w:t>improve overall productivity levels</w:t>
      </w:r>
      <w:r w:rsidR="00523C6B" w:rsidRPr="005F53CF">
        <w:rPr>
          <w:rFonts w:ascii="Arial" w:hAnsi="Arial" w:cs="Arial"/>
          <w:sz w:val="24"/>
          <w:szCs w:val="24"/>
        </w:rPr>
        <w:t>;</w:t>
      </w:r>
      <w:r w:rsidRPr="005F53CF">
        <w:rPr>
          <w:rFonts w:ascii="Arial" w:hAnsi="Arial" w:cs="Arial"/>
          <w:sz w:val="24"/>
          <w:szCs w:val="24"/>
        </w:rPr>
        <w:t xml:space="preserve"> and to </w:t>
      </w:r>
      <w:r w:rsidRPr="005F53CF">
        <w:rPr>
          <w:rFonts w:ascii="Arial" w:hAnsi="Arial" w:cs="Arial"/>
          <w:b/>
          <w:sz w:val="24"/>
          <w:szCs w:val="24"/>
        </w:rPr>
        <w:t>retain</w:t>
      </w:r>
      <w:r w:rsidRPr="005F53CF">
        <w:rPr>
          <w:rFonts w:ascii="Arial" w:hAnsi="Arial" w:cs="Arial"/>
          <w:sz w:val="24"/>
          <w:szCs w:val="24"/>
        </w:rPr>
        <w:t xml:space="preserve"> </w:t>
      </w:r>
      <w:r w:rsidRPr="005F53CF">
        <w:rPr>
          <w:rFonts w:ascii="Arial" w:hAnsi="Arial" w:cs="Arial"/>
          <w:b/>
          <w:sz w:val="24"/>
          <w:szCs w:val="24"/>
        </w:rPr>
        <w:t>and</w:t>
      </w:r>
      <w:r w:rsidRPr="005F53CF">
        <w:rPr>
          <w:rFonts w:ascii="Arial" w:hAnsi="Arial" w:cs="Arial"/>
          <w:sz w:val="24"/>
          <w:szCs w:val="24"/>
        </w:rPr>
        <w:t xml:space="preserve"> </w:t>
      </w:r>
      <w:r w:rsidRPr="005F53CF">
        <w:rPr>
          <w:rFonts w:ascii="Arial" w:hAnsi="Arial" w:cs="Arial"/>
          <w:b/>
          <w:sz w:val="24"/>
          <w:szCs w:val="24"/>
        </w:rPr>
        <w:t>increase the number of working age</w:t>
      </w:r>
      <w:r w:rsidRPr="005F53CF">
        <w:rPr>
          <w:rFonts w:ascii="Arial" w:hAnsi="Arial" w:cs="Arial"/>
          <w:sz w:val="24"/>
          <w:szCs w:val="24"/>
        </w:rPr>
        <w:t xml:space="preserve"> in the county.</w:t>
      </w:r>
      <w:r w:rsidR="00523C6B" w:rsidRPr="005F53CF">
        <w:rPr>
          <w:rFonts w:ascii="Arial" w:hAnsi="Arial" w:cs="Arial"/>
          <w:sz w:val="24"/>
          <w:szCs w:val="24"/>
        </w:rPr>
        <w:t xml:space="preserve"> The LIS identifies 10 potential targets to measure progress</w:t>
      </w:r>
      <w:r w:rsidR="00C37DAD">
        <w:rPr>
          <w:rFonts w:ascii="Arial" w:hAnsi="Arial" w:cs="Arial"/>
          <w:sz w:val="24"/>
          <w:szCs w:val="24"/>
        </w:rPr>
        <w:t xml:space="preserve">, which </w:t>
      </w:r>
      <w:r w:rsidR="00523C6B" w:rsidRPr="005F53CF">
        <w:rPr>
          <w:rFonts w:ascii="Arial" w:hAnsi="Arial" w:cs="Arial"/>
          <w:sz w:val="24"/>
          <w:szCs w:val="24"/>
        </w:rPr>
        <w:t>will be discussed with central government during the spring and summer of 2019 as part of the co-production of the final LIS.</w:t>
      </w:r>
    </w:p>
    <w:p w14:paraId="32859479" w14:textId="04ECD29D" w:rsidR="00081322" w:rsidRDefault="00081322" w:rsidP="00D47CCA">
      <w:pPr>
        <w:pStyle w:val="Heading5"/>
        <w:rPr>
          <w:rFonts w:ascii="Arial" w:hAnsi="Arial" w:cs="Arial"/>
          <w:sz w:val="24"/>
          <w:szCs w:val="24"/>
        </w:rPr>
      </w:pPr>
      <w:r w:rsidRPr="00312EDD">
        <w:rPr>
          <w:rFonts w:ascii="Arial" w:hAnsi="Arial" w:cs="Arial"/>
          <w:sz w:val="24"/>
          <w:szCs w:val="24"/>
        </w:rPr>
        <w:t xml:space="preserve">During the transition period </w:t>
      </w:r>
      <w:r w:rsidR="00711891">
        <w:rPr>
          <w:rFonts w:ascii="Arial" w:hAnsi="Arial" w:cs="Arial"/>
          <w:sz w:val="24"/>
          <w:szCs w:val="24"/>
        </w:rPr>
        <w:t xml:space="preserve">it was agreed that </w:t>
      </w:r>
      <w:r w:rsidRPr="00312EDD">
        <w:rPr>
          <w:rFonts w:ascii="Arial" w:hAnsi="Arial" w:cs="Arial"/>
          <w:sz w:val="24"/>
          <w:szCs w:val="24"/>
        </w:rPr>
        <w:t>decisions w</w:t>
      </w:r>
      <w:r w:rsidR="00711891">
        <w:rPr>
          <w:rFonts w:ascii="Arial" w:hAnsi="Arial" w:cs="Arial"/>
          <w:sz w:val="24"/>
          <w:szCs w:val="24"/>
        </w:rPr>
        <w:t>ould</w:t>
      </w:r>
      <w:r w:rsidRPr="00312EDD">
        <w:rPr>
          <w:rFonts w:ascii="Arial" w:hAnsi="Arial" w:cs="Arial"/>
          <w:sz w:val="24"/>
          <w:szCs w:val="24"/>
        </w:rPr>
        <w:t xml:space="preserve"> be framed within the context of the SEP, until the LIS was sufficiently advanced to provide the necessary strategic framework. Decisions in relation to project funding in 2019/20 </w:t>
      </w:r>
      <w:r w:rsidR="00711891">
        <w:rPr>
          <w:rFonts w:ascii="Arial" w:hAnsi="Arial" w:cs="Arial"/>
          <w:sz w:val="24"/>
          <w:szCs w:val="24"/>
        </w:rPr>
        <w:t xml:space="preserve">are </w:t>
      </w:r>
      <w:r w:rsidRPr="00312EDD">
        <w:rPr>
          <w:rFonts w:ascii="Arial" w:hAnsi="Arial" w:cs="Arial"/>
          <w:sz w:val="24"/>
          <w:szCs w:val="24"/>
        </w:rPr>
        <w:t xml:space="preserve">therefore </w:t>
      </w:r>
      <w:r w:rsidR="00C37DAD">
        <w:rPr>
          <w:rFonts w:ascii="Arial" w:hAnsi="Arial" w:cs="Arial"/>
          <w:sz w:val="24"/>
          <w:szCs w:val="24"/>
        </w:rPr>
        <w:t xml:space="preserve">still </w:t>
      </w:r>
      <w:r w:rsidRPr="00312EDD">
        <w:rPr>
          <w:rFonts w:ascii="Arial" w:hAnsi="Arial" w:cs="Arial"/>
          <w:sz w:val="24"/>
          <w:szCs w:val="24"/>
        </w:rPr>
        <w:t>be</w:t>
      </w:r>
      <w:r w:rsidR="00711891">
        <w:rPr>
          <w:rFonts w:ascii="Arial" w:hAnsi="Arial" w:cs="Arial"/>
          <w:sz w:val="24"/>
          <w:szCs w:val="24"/>
        </w:rPr>
        <w:t>ing</w:t>
      </w:r>
      <w:r w:rsidRPr="00312EDD">
        <w:rPr>
          <w:rFonts w:ascii="Arial" w:hAnsi="Arial" w:cs="Arial"/>
          <w:sz w:val="24"/>
          <w:szCs w:val="24"/>
        </w:rPr>
        <w:t xml:space="preserve"> considered against </w:t>
      </w:r>
      <w:r w:rsidR="00C37DAD">
        <w:rPr>
          <w:rFonts w:ascii="Arial" w:hAnsi="Arial" w:cs="Arial"/>
          <w:sz w:val="24"/>
          <w:szCs w:val="24"/>
        </w:rPr>
        <w:t>t</w:t>
      </w:r>
      <w:r w:rsidRPr="00312EDD">
        <w:rPr>
          <w:rFonts w:ascii="Arial" w:hAnsi="Arial" w:cs="Arial"/>
          <w:sz w:val="24"/>
          <w:szCs w:val="24"/>
        </w:rPr>
        <w:t xml:space="preserve">he SEP </w:t>
      </w:r>
      <w:r w:rsidR="00C37DAD">
        <w:rPr>
          <w:rFonts w:ascii="Arial" w:hAnsi="Arial" w:cs="Arial"/>
          <w:sz w:val="24"/>
          <w:szCs w:val="24"/>
        </w:rPr>
        <w:t xml:space="preserve">but increasingly against the </w:t>
      </w:r>
      <w:r w:rsidRPr="00312EDD">
        <w:rPr>
          <w:rFonts w:ascii="Arial" w:hAnsi="Arial" w:cs="Arial"/>
          <w:sz w:val="24"/>
          <w:szCs w:val="24"/>
        </w:rPr>
        <w:t xml:space="preserve">LIS, and where appropriate the </w:t>
      </w:r>
      <w:r w:rsidRPr="00312EDD">
        <w:rPr>
          <w:rFonts w:ascii="Arial" w:hAnsi="Arial" w:cs="Arial"/>
          <w:sz w:val="24"/>
          <w:szCs w:val="24"/>
          <w:lang w:val="en-US"/>
        </w:rPr>
        <w:t xml:space="preserve">European Structural Investment Fund Strategy. </w:t>
      </w:r>
      <w:r w:rsidR="00711891">
        <w:rPr>
          <w:rFonts w:ascii="Arial" w:hAnsi="Arial" w:cs="Arial"/>
          <w:sz w:val="24"/>
          <w:szCs w:val="24"/>
          <w:lang w:val="en-US"/>
        </w:rPr>
        <w:t xml:space="preserve">Part 2 of </w:t>
      </w:r>
      <w:r w:rsidR="00C37DAD">
        <w:rPr>
          <w:rFonts w:ascii="Arial" w:hAnsi="Arial" w:cs="Arial"/>
          <w:sz w:val="24"/>
          <w:szCs w:val="24"/>
          <w:lang w:val="en-US"/>
        </w:rPr>
        <w:t xml:space="preserve">CLEP’s </w:t>
      </w:r>
      <w:r w:rsidR="00711891">
        <w:rPr>
          <w:rFonts w:ascii="Arial" w:hAnsi="Arial" w:cs="Arial"/>
          <w:sz w:val="24"/>
          <w:szCs w:val="24"/>
        </w:rPr>
        <w:t xml:space="preserve">Local Assurance Framework provides full details of the systems and processes for project prioritisation and investment decisions. </w:t>
      </w:r>
    </w:p>
    <w:p w14:paraId="091BDE45" w14:textId="3A2B6667" w:rsidR="00711891" w:rsidRDefault="00711891" w:rsidP="00D47CCA">
      <w:pPr>
        <w:pStyle w:val="Heading5"/>
        <w:rPr>
          <w:rFonts w:ascii="Arial" w:hAnsi="Arial" w:cs="Arial"/>
          <w:sz w:val="24"/>
          <w:szCs w:val="24"/>
        </w:rPr>
      </w:pPr>
      <w:r>
        <w:rPr>
          <w:rFonts w:ascii="Arial" w:hAnsi="Arial" w:cs="Arial"/>
          <w:sz w:val="24"/>
          <w:szCs w:val="24"/>
        </w:rPr>
        <w:t xml:space="preserve">CLEP’s performance in 2018/19 was assessed as good and the intention in 2019/20 is to build </w:t>
      </w:r>
      <w:r w:rsidR="00C37DAD">
        <w:rPr>
          <w:rFonts w:ascii="Arial" w:hAnsi="Arial" w:cs="Arial"/>
          <w:sz w:val="24"/>
          <w:szCs w:val="24"/>
        </w:rPr>
        <w:t>up</w:t>
      </w:r>
      <w:r>
        <w:rPr>
          <w:rFonts w:ascii="Arial" w:hAnsi="Arial" w:cs="Arial"/>
          <w:sz w:val="24"/>
          <w:szCs w:val="24"/>
        </w:rPr>
        <w:t xml:space="preserve">on this sound platform to move CLEP’s performance level to the next level.  </w:t>
      </w:r>
    </w:p>
    <w:p w14:paraId="6BDC44FF" w14:textId="77777777" w:rsidR="00E2595C" w:rsidRDefault="00E2595C" w:rsidP="00C37DAD">
      <w:pPr>
        <w:pStyle w:val="Heading5"/>
        <w:numPr>
          <w:ilvl w:val="0"/>
          <w:numId w:val="0"/>
        </w:numPr>
        <w:spacing w:before="0"/>
        <w:ind w:left="680"/>
        <w:rPr>
          <w:rFonts w:ascii="Arial" w:hAnsi="Arial" w:cs="Arial"/>
          <w:sz w:val="24"/>
          <w:szCs w:val="24"/>
        </w:rPr>
      </w:pPr>
    </w:p>
    <w:p w14:paraId="7C4FE1FE" w14:textId="77777777" w:rsidR="00E2595C" w:rsidRDefault="00E2595C" w:rsidP="00E2595C">
      <w:pPr>
        <w:pStyle w:val="Heading5"/>
        <w:numPr>
          <w:ilvl w:val="0"/>
          <w:numId w:val="0"/>
        </w:numPr>
        <w:ind w:left="680"/>
        <w:rPr>
          <w:rFonts w:ascii="Arial" w:hAnsi="Arial" w:cs="Arial"/>
          <w:sz w:val="24"/>
          <w:szCs w:val="24"/>
        </w:rPr>
      </w:pPr>
    </w:p>
    <w:p w14:paraId="3CB20183" w14:textId="35667092" w:rsidR="00D81AA5" w:rsidRDefault="00711891" w:rsidP="00D81AA5">
      <w:pPr>
        <w:pStyle w:val="Heading1"/>
        <w:spacing w:before="0" w:after="0"/>
      </w:pPr>
      <w:r w:rsidRPr="00D81AA5">
        <w:rPr>
          <w14:textFill>
            <w14:gradFill>
              <w14:gsLst>
                <w14:gs w14:pos="0">
                  <w14:srgbClr w14:val="6B004B">
                    <w14:shade w14:val="30000"/>
                    <w14:satMod w14:val="115000"/>
                  </w14:srgbClr>
                </w14:gs>
                <w14:gs w14:pos="50000">
                  <w14:srgbClr w14:val="6B004B">
                    <w14:shade w14:val="67500"/>
                    <w14:satMod w14:val="115000"/>
                  </w14:srgbClr>
                </w14:gs>
                <w14:gs w14:pos="100000">
                  <w14:srgbClr w14:val="6B004B">
                    <w14:shade w14:val="100000"/>
                    <w14:satMod w14:val="115000"/>
                  </w14:srgbClr>
                </w14:gs>
              </w14:gsLst>
              <w14:lin w14:ang="2700000" w14:scaled="0"/>
            </w14:gradFill>
          </w14:textFill>
        </w:rPr>
        <w:t>Governance</w:t>
      </w:r>
      <w:r>
        <w:br/>
      </w:r>
    </w:p>
    <w:p w14:paraId="35F97166" w14:textId="02EFDD50" w:rsidR="00D81AA5" w:rsidRPr="0036567A" w:rsidRDefault="00D81AA5" w:rsidP="0036567A">
      <w:pPr>
        <w:pStyle w:val="Heading5"/>
        <w:numPr>
          <w:ilvl w:val="0"/>
          <w:numId w:val="0"/>
        </w:numPr>
        <w:jc w:val="left"/>
        <w:rPr>
          <w:rFonts w:ascii="Arial" w:hAnsi="Arial" w:cs="Arial"/>
          <w:b/>
          <w:color w:val="660033"/>
          <w:sz w:val="24"/>
          <w:szCs w:val="24"/>
        </w:rPr>
      </w:pPr>
      <w:r w:rsidRPr="0036567A">
        <w:rPr>
          <w:rFonts w:ascii="Arial" w:hAnsi="Arial" w:cs="Arial"/>
          <w:b/>
          <w:color w:val="660033"/>
          <w:sz w:val="24"/>
          <w:szCs w:val="24"/>
        </w:rPr>
        <w:t>Improvement Planning</w:t>
      </w:r>
      <w:r w:rsidRPr="0036567A">
        <w:rPr>
          <w:rFonts w:ascii="Arial" w:hAnsi="Arial" w:cs="Arial"/>
          <w:b/>
          <w:color w:val="660033"/>
          <w:sz w:val="24"/>
          <w:szCs w:val="24"/>
        </w:rPr>
        <w:br/>
      </w:r>
    </w:p>
    <w:p w14:paraId="74DFFF7B" w14:textId="77777777" w:rsidR="00F91A28" w:rsidRDefault="00711891" w:rsidP="00F91A28">
      <w:pPr>
        <w:pStyle w:val="Heading5"/>
        <w:jc w:val="left"/>
        <w:rPr>
          <w:rFonts w:ascii="Arial" w:hAnsi="Arial" w:cs="Arial"/>
          <w:sz w:val="24"/>
          <w:szCs w:val="24"/>
        </w:rPr>
      </w:pPr>
      <w:r>
        <w:rPr>
          <w:rFonts w:ascii="Arial" w:hAnsi="Arial" w:cs="Arial"/>
          <w:sz w:val="24"/>
          <w:szCs w:val="24"/>
        </w:rPr>
        <w:t xml:space="preserve">During 2018/19 CLEP undertook significant work to improve governance, accountability and transparency, following an assessment of inadequate following the 2017/18 Annual Performance Review. The incoming Chair and Chief Executive therefore developed a significant programme of work to respond to all of the issues identified through numerous reviews and scrutiny activity including government’s deep dive report, the recommendations from the Mary Ney Review and an independent review of CLEP by S4W, which was commissioned by CLEP’s then Scrutiny Committee. </w:t>
      </w:r>
      <w:r w:rsidR="00F91A28">
        <w:rPr>
          <w:rFonts w:ascii="Arial" w:hAnsi="Arial" w:cs="Arial"/>
          <w:sz w:val="24"/>
          <w:szCs w:val="24"/>
        </w:rPr>
        <w:br/>
      </w:r>
    </w:p>
    <w:p w14:paraId="54BBC808" w14:textId="1644ACC3" w:rsidR="007B591C" w:rsidRDefault="00F91A28" w:rsidP="007B591C">
      <w:pPr>
        <w:pStyle w:val="Heading5"/>
        <w:rPr>
          <w:rFonts w:ascii="Arial" w:hAnsi="Arial" w:cs="Arial"/>
          <w:sz w:val="24"/>
          <w:szCs w:val="24"/>
        </w:rPr>
      </w:pPr>
      <w:r>
        <w:rPr>
          <w:rFonts w:ascii="Arial" w:hAnsi="Arial" w:cs="Arial"/>
          <w:sz w:val="24"/>
          <w:szCs w:val="24"/>
        </w:rPr>
        <w:t xml:space="preserve">The full implementation of all findings was completed by </w:t>
      </w:r>
      <w:r w:rsidR="00C37DAD">
        <w:rPr>
          <w:rFonts w:ascii="Arial" w:hAnsi="Arial" w:cs="Arial"/>
          <w:sz w:val="24"/>
          <w:szCs w:val="24"/>
        </w:rPr>
        <w:t xml:space="preserve">the </w:t>
      </w:r>
      <w:r>
        <w:rPr>
          <w:rFonts w:ascii="Arial" w:hAnsi="Arial" w:cs="Arial"/>
          <w:sz w:val="24"/>
          <w:szCs w:val="24"/>
        </w:rPr>
        <w:t xml:space="preserve">end of September 2018, following the receipt of government’s deep dive report, which was </w:t>
      </w:r>
      <w:r w:rsidR="00C37DAD">
        <w:rPr>
          <w:rFonts w:ascii="Arial" w:hAnsi="Arial" w:cs="Arial"/>
          <w:sz w:val="24"/>
          <w:szCs w:val="24"/>
        </w:rPr>
        <w:t xml:space="preserve">issued to CLEP </w:t>
      </w:r>
      <w:r>
        <w:rPr>
          <w:rFonts w:ascii="Arial" w:hAnsi="Arial" w:cs="Arial"/>
          <w:sz w:val="24"/>
          <w:szCs w:val="24"/>
        </w:rPr>
        <w:t xml:space="preserve">at the end of June 2018, considered by the Board at its 13 July meeting, with the full response agreed and implemented at the 28 September Board meeting. </w:t>
      </w:r>
      <w:r w:rsidR="00C37DAD">
        <w:rPr>
          <w:rFonts w:ascii="Arial" w:hAnsi="Arial" w:cs="Arial"/>
          <w:sz w:val="24"/>
          <w:szCs w:val="24"/>
        </w:rPr>
        <w:t xml:space="preserve">Government confirmed that all issues had been satisfactorily addressed. </w:t>
      </w:r>
      <w:r w:rsidR="00F757A4">
        <w:rPr>
          <w:rFonts w:ascii="Arial" w:hAnsi="Arial" w:cs="Arial"/>
          <w:sz w:val="24"/>
          <w:szCs w:val="24"/>
        </w:rPr>
        <w:t>A further update was provided to government on the deep dive report in April 2019, as supporting evidence to the Improvement Plan, to demonstrate that the changes made to respond to the recommendations had been fully embedded.</w:t>
      </w:r>
      <w:r w:rsidR="007B591C">
        <w:rPr>
          <w:rFonts w:ascii="Arial" w:hAnsi="Arial" w:cs="Arial"/>
          <w:sz w:val="24"/>
          <w:szCs w:val="24"/>
        </w:rPr>
        <w:br/>
      </w:r>
    </w:p>
    <w:p w14:paraId="6E204ED4" w14:textId="0BD32DC1" w:rsidR="007B591C" w:rsidRDefault="007B591C" w:rsidP="007B591C">
      <w:pPr>
        <w:pStyle w:val="Heading5"/>
        <w:rPr>
          <w:rFonts w:ascii="Arial" w:hAnsi="Arial" w:cs="Arial"/>
          <w:sz w:val="24"/>
          <w:szCs w:val="24"/>
        </w:rPr>
      </w:pPr>
      <w:r>
        <w:rPr>
          <w:rFonts w:ascii="Arial" w:hAnsi="Arial" w:cs="Arial"/>
          <w:sz w:val="24"/>
          <w:szCs w:val="24"/>
        </w:rPr>
        <w:t xml:space="preserve">The main changes introduced as from 28 September </w:t>
      </w:r>
      <w:r w:rsidR="00C37DAD">
        <w:rPr>
          <w:rFonts w:ascii="Arial" w:hAnsi="Arial" w:cs="Arial"/>
          <w:sz w:val="24"/>
          <w:szCs w:val="24"/>
        </w:rPr>
        <w:t xml:space="preserve">2018 were </w:t>
      </w:r>
      <w:r>
        <w:rPr>
          <w:rFonts w:ascii="Arial" w:hAnsi="Arial" w:cs="Arial"/>
          <w:sz w:val="24"/>
          <w:szCs w:val="24"/>
        </w:rPr>
        <w:t xml:space="preserve">a revised Local Assurance Framework, which was fully compliant with government guidance and responded to the recommendations in </w:t>
      </w:r>
      <w:r w:rsidR="00C37DAD">
        <w:rPr>
          <w:rFonts w:ascii="Arial" w:hAnsi="Arial" w:cs="Arial"/>
          <w:sz w:val="24"/>
          <w:szCs w:val="24"/>
        </w:rPr>
        <w:t>all review and scr</w:t>
      </w:r>
      <w:r>
        <w:rPr>
          <w:rFonts w:ascii="Arial" w:hAnsi="Arial" w:cs="Arial"/>
          <w:sz w:val="24"/>
          <w:szCs w:val="24"/>
        </w:rPr>
        <w:t xml:space="preserve">utiny </w:t>
      </w:r>
      <w:r w:rsidR="00C37DAD">
        <w:rPr>
          <w:rFonts w:ascii="Arial" w:hAnsi="Arial" w:cs="Arial"/>
          <w:sz w:val="24"/>
          <w:szCs w:val="24"/>
        </w:rPr>
        <w:t>activity</w:t>
      </w:r>
      <w:r>
        <w:rPr>
          <w:rFonts w:ascii="Arial" w:hAnsi="Arial" w:cs="Arial"/>
          <w:sz w:val="24"/>
          <w:szCs w:val="24"/>
        </w:rPr>
        <w:t>; new induction and training on code of conduct and conflict of interest for Board members</w:t>
      </w:r>
      <w:r w:rsidR="00C37DAD">
        <w:rPr>
          <w:rFonts w:ascii="Arial" w:hAnsi="Arial" w:cs="Arial"/>
          <w:sz w:val="24"/>
          <w:szCs w:val="24"/>
        </w:rPr>
        <w:t xml:space="preserve"> developed in partnership with the Accountable Body</w:t>
      </w:r>
      <w:r>
        <w:rPr>
          <w:rFonts w:ascii="Arial" w:hAnsi="Arial" w:cs="Arial"/>
          <w:sz w:val="24"/>
          <w:szCs w:val="24"/>
        </w:rPr>
        <w:t>; governance arrangements structured around the emerging LIS</w:t>
      </w:r>
      <w:r w:rsidR="00C37DAD">
        <w:rPr>
          <w:rFonts w:ascii="Arial" w:hAnsi="Arial" w:cs="Arial"/>
          <w:sz w:val="24"/>
          <w:szCs w:val="24"/>
        </w:rPr>
        <w:t>, with five Strategy Groups centred on the drivers of productivity</w:t>
      </w:r>
      <w:r>
        <w:rPr>
          <w:rFonts w:ascii="Arial" w:hAnsi="Arial" w:cs="Arial"/>
          <w:sz w:val="24"/>
          <w:szCs w:val="24"/>
        </w:rPr>
        <w:t xml:space="preserve">; improvement of the website to increase </w:t>
      </w:r>
      <w:r w:rsidR="00C37DAD">
        <w:rPr>
          <w:rFonts w:ascii="Arial" w:hAnsi="Arial" w:cs="Arial"/>
          <w:sz w:val="24"/>
          <w:szCs w:val="24"/>
        </w:rPr>
        <w:t xml:space="preserve">its </w:t>
      </w:r>
      <w:r>
        <w:rPr>
          <w:rFonts w:ascii="Arial" w:hAnsi="Arial" w:cs="Arial"/>
          <w:sz w:val="24"/>
          <w:szCs w:val="24"/>
        </w:rPr>
        <w:t>visibility and transparency; and the introduction of a public Annual General Meeting on 28 September</w:t>
      </w:r>
      <w:r w:rsidR="00C37DAD">
        <w:rPr>
          <w:rFonts w:ascii="Arial" w:hAnsi="Arial" w:cs="Arial"/>
          <w:sz w:val="24"/>
          <w:szCs w:val="24"/>
        </w:rPr>
        <w:t xml:space="preserve"> 2018</w:t>
      </w:r>
      <w:r>
        <w:rPr>
          <w:rFonts w:ascii="Arial" w:hAnsi="Arial" w:cs="Arial"/>
          <w:sz w:val="24"/>
          <w:szCs w:val="24"/>
        </w:rPr>
        <w:t xml:space="preserve">, which was widely advertised and secured significant stakeholder attendance. </w:t>
      </w:r>
      <w:r w:rsidR="00C37DAD">
        <w:rPr>
          <w:rFonts w:ascii="Arial" w:hAnsi="Arial" w:cs="Arial"/>
          <w:sz w:val="24"/>
          <w:szCs w:val="24"/>
        </w:rPr>
        <w:t xml:space="preserve">This meeting was supported by a significantly enhanced Annual </w:t>
      </w:r>
      <w:r w:rsidR="00F8572E">
        <w:rPr>
          <w:rFonts w:ascii="Arial" w:hAnsi="Arial" w:cs="Arial"/>
          <w:sz w:val="24"/>
          <w:szCs w:val="24"/>
        </w:rPr>
        <w:t>R</w:t>
      </w:r>
      <w:r w:rsidR="00C37DAD">
        <w:rPr>
          <w:rFonts w:ascii="Arial" w:hAnsi="Arial" w:cs="Arial"/>
          <w:sz w:val="24"/>
          <w:szCs w:val="24"/>
        </w:rPr>
        <w:t xml:space="preserve">eport, which will be further developed in 2019. </w:t>
      </w:r>
    </w:p>
    <w:p w14:paraId="6FA91D67" w14:textId="77777777" w:rsidR="00D81AA5" w:rsidRDefault="007B591C" w:rsidP="007B591C">
      <w:pPr>
        <w:pStyle w:val="Heading5"/>
        <w:jc w:val="left"/>
        <w:rPr>
          <w:rFonts w:ascii="Arial" w:hAnsi="Arial" w:cs="Arial"/>
          <w:sz w:val="24"/>
          <w:szCs w:val="24"/>
        </w:rPr>
      </w:pPr>
      <w:r>
        <w:rPr>
          <w:rFonts w:ascii="Arial" w:hAnsi="Arial" w:cs="Arial"/>
          <w:sz w:val="24"/>
          <w:szCs w:val="24"/>
        </w:rPr>
        <w:t xml:space="preserve">This progress was recognised in the 2018/19 Annual Performance Review which recognised that if assessed </w:t>
      </w:r>
      <w:r w:rsidR="00C37DAD">
        <w:rPr>
          <w:rFonts w:ascii="Arial" w:hAnsi="Arial" w:cs="Arial"/>
          <w:sz w:val="24"/>
          <w:szCs w:val="24"/>
        </w:rPr>
        <w:t xml:space="preserve">as </w:t>
      </w:r>
      <w:r>
        <w:rPr>
          <w:rFonts w:ascii="Arial" w:hAnsi="Arial" w:cs="Arial"/>
          <w:sz w:val="24"/>
          <w:szCs w:val="24"/>
        </w:rPr>
        <w:t xml:space="preserve">at March 2019 governance would be ‘at least good’ but as </w:t>
      </w:r>
      <w:r w:rsidR="00C37DAD">
        <w:rPr>
          <w:rFonts w:ascii="Arial" w:hAnsi="Arial" w:cs="Arial"/>
          <w:sz w:val="24"/>
          <w:szCs w:val="24"/>
        </w:rPr>
        <w:t xml:space="preserve">government was </w:t>
      </w:r>
      <w:r w:rsidR="00F8572E">
        <w:rPr>
          <w:rFonts w:ascii="Arial" w:hAnsi="Arial" w:cs="Arial"/>
          <w:sz w:val="24"/>
          <w:szCs w:val="24"/>
        </w:rPr>
        <w:t xml:space="preserve">completing its assessment </w:t>
      </w:r>
      <w:r w:rsidR="00C37DAD">
        <w:rPr>
          <w:rFonts w:ascii="Arial" w:hAnsi="Arial" w:cs="Arial"/>
          <w:sz w:val="24"/>
          <w:szCs w:val="24"/>
        </w:rPr>
        <w:t xml:space="preserve">over the entirety of the </w:t>
      </w:r>
      <w:r>
        <w:rPr>
          <w:rFonts w:ascii="Arial" w:hAnsi="Arial" w:cs="Arial"/>
          <w:sz w:val="24"/>
          <w:szCs w:val="24"/>
        </w:rPr>
        <w:t xml:space="preserve">year </w:t>
      </w:r>
      <w:r w:rsidR="001A5B5B">
        <w:rPr>
          <w:rFonts w:ascii="Arial" w:hAnsi="Arial" w:cs="Arial"/>
          <w:sz w:val="24"/>
          <w:szCs w:val="24"/>
        </w:rPr>
        <w:t xml:space="preserve">it </w:t>
      </w:r>
      <w:r>
        <w:rPr>
          <w:rFonts w:ascii="Arial" w:hAnsi="Arial" w:cs="Arial"/>
          <w:sz w:val="24"/>
          <w:szCs w:val="24"/>
        </w:rPr>
        <w:t xml:space="preserve">was categorised as ‘requires improvement’, </w:t>
      </w:r>
      <w:r w:rsidR="001A5B5B">
        <w:rPr>
          <w:rFonts w:ascii="Arial" w:hAnsi="Arial" w:cs="Arial"/>
          <w:sz w:val="24"/>
          <w:szCs w:val="24"/>
        </w:rPr>
        <w:t xml:space="preserve">as </w:t>
      </w:r>
      <w:r w:rsidR="00F8572E">
        <w:rPr>
          <w:rFonts w:ascii="Arial" w:hAnsi="Arial" w:cs="Arial"/>
          <w:sz w:val="24"/>
          <w:szCs w:val="24"/>
        </w:rPr>
        <w:t xml:space="preserve">until September 2018 work in responding to the Deep dive report had not been finalised. An </w:t>
      </w:r>
      <w:r>
        <w:rPr>
          <w:rFonts w:ascii="Arial" w:hAnsi="Arial" w:cs="Arial"/>
          <w:sz w:val="24"/>
          <w:szCs w:val="24"/>
        </w:rPr>
        <w:t>Improvement Plan was requ</w:t>
      </w:r>
      <w:r w:rsidR="00F8572E">
        <w:rPr>
          <w:rFonts w:ascii="Arial" w:hAnsi="Arial" w:cs="Arial"/>
          <w:sz w:val="24"/>
          <w:szCs w:val="24"/>
        </w:rPr>
        <w:t>ested and a copy of this is provided at Appendix A</w:t>
      </w:r>
      <w:r>
        <w:rPr>
          <w:rFonts w:ascii="Arial" w:hAnsi="Arial" w:cs="Arial"/>
          <w:sz w:val="24"/>
          <w:szCs w:val="24"/>
        </w:rPr>
        <w:t xml:space="preserve">. This focused on </w:t>
      </w:r>
      <w:r w:rsidR="00561AEE">
        <w:rPr>
          <w:rFonts w:ascii="Arial" w:hAnsi="Arial" w:cs="Arial"/>
          <w:sz w:val="24"/>
          <w:szCs w:val="24"/>
        </w:rPr>
        <w:t xml:space="preserve">the agreed action points from the Annual Performance Review given that all other recommendations from the deep dive and other scrutiny activity had been fully addressed. A key priority is therefore to ensure that the </w:t>
      </w:r>
      <w:r w:rsidR="00B0337C">
        <w:rPr>
          <w:rFonts w:ascii="Arial" w:hAnsi="Arial" w:cs="Arial"/>
          <w:sz w:val="24"/>
          <w:szCs w:val="24"/>
        </w:rPr>
        <w:t xml:space="preserve">actions within the </w:t>
      </w:r>
      <w:r w:rsidR="00561AEE">
        <w:rPr>
          <w:rFonts w:ascii="Arial" w:hAnsi="Arial" w:cs="Arial"/>
          <w:sz w:val="24"/>
          <w:szCs w:val="24"/>
        </w:rPr>
        <w:t>Plan</w:t>
      </w:r>
      <w:r w:rsidR="00093813">
        <w:rPr>
          <w:rFonts w:ascii="Arial" w:hAnsi="Arial" w:cs="Arial"/>
          <w:sz w:val="24"/>
          <w:szCs w:val="24"/>
        </w:rPr>
        <w:t>, which has already b</w:t>
      </w:r>
      <w:r w:rsidR="00561AEE">
        <w:rPr>
          <w:rFonts w:ascii="Arial" w:hAnsi="Arial" w:cs="Arial"/>
          <w:sz w:val="24"/>
          <w:szCs w:val="24"/>
        </w:rPr>
        <w:t xml:space="preserve">een </w:t>
      </w:r>
      <w:r w:rsidR="00B0337C">
        <w:rPr>
          <w:rFonts w:ascii="Arial" w:hAnsi="Arial" w:cs="Arial"/>
          <w:sz w:val="24"/>
          <w:szCs w:val="24"/>
        </w:rPr>
        <w:t>completed</w:t>
      </w:r>
      <w:r w:rsidR="00093813">
        <w:rPr>
          <w:rFonts w:ascii="Arial" w:hAnsi="Arial" w:cs="Arial"/>
          <w:sz w:val="24"/>
          <w:szCs w:val="24"/>
        </w:rPr>
        <w:t>,</w:t>
      </w:r>
      <w:r w:rsidR="00561AEE">
        <w:rPr>
          <w:rFonts w:ascii="Arial" w:hAnsi="Arial" w:cs="Arial"/>
          <w:sz w:val="24"/>
          <w:szCs w:val="24"/>
        </w:rPr>
        <w:t xml:space="preserve"> </w:t>
      </w:r>
      <w:r w:rsidR="00B0337C">
        <w:rPr>
          <w:rFonts w:ascii="Arial" w:hAnsi="Arial" w:cs="Arial"/>
          <w:sz w:val="24"/>
          <w:szCs w:val="24"/>
        </w:rPr>
        <w:t>are</w:t>
      </w:r>
      <w:r w:rsidR="00093813">
        <w:rPr>
          <w:rFonts w:ascii="Arial" w:hAnsi="Arial" w:cs="Arial"/>
          <w:sz w:val="24"/>
          <w:szCs w:val="24"/>
        </w:rPr>
        <w:t xml:space="preserve"> </w:t>
      </w:r>
      <w:r w:rsidR="00561AEE">
        <w:rPr>
          <w:rFonts w:ascii="Arial" w:hAnsi="Arial" w:cs="Arial"/>
          <w:sz w:val="24"/>
          <w:szCs w:val="24"/>
        </w:rPr>
        <w:t xml:space="preserve">fully </w:t>
      </w:r>
      <w:r w:rsidR="00093813">
        <w:rPr>
          <w:rFonts w:ascii="Arial" w:hAnsi="Arial" w:cs="Arial"/>
          <w:sz w:val="24"/>
          <w:szCs w:val="24"/>
        </w:rPr>
        <w:t>embedded during 2019/20.</w:t>
      </w:r>
      <w:r w:rsidR="00D81AA5">
        <w:rPr>
          <w:rFonts w:ascii="Arial" w:hAnsi="Arial" w:cs="Arial"/>
          <w:sz w:val="24"/>
          <w:szCs w:val="24"/>
        </w:rPr>
        <w:br/>
      </w:r>
    </w:p>
    <w:p w14:paraId="4E2E6A7E" w14:textId="77777777" w:rsidR="00D81AA5" w:rsidRDefault="00D81AA5" w:rsidP="0036567A">
      <w:pPr>
        <w:pStyle w:val="Heading5"/>
        <w:numPr>
          <w:ilvl w:val="0"/>
          <w:numId w:val="0"/>
        </w:numPr>
        <w:jc w:val="left"/>
        <w:rPr>
          <w:rFonts w:ascii="Arial" w:hAnsi="Arial" w:cs="Arial"/>
          <w:b/>
          <w:color w:val="660033"/>
          <w:sz w:val="24"/>
          <w:szCs w:val="24"/>
        </w:rPr>
      </w:pPr>
      <w:r w:rsidRPr="00D81AA5">
        <w:rPr>
          <w:rFonts w:ascii="Arial" w:hAnsi="Arial" w:cs="Arial"/>
          <w:b/>
          <w:color w:val="660033"/>
          <w:sz w:val="24"/>
          <w:szCs w:val="24"/>
        </w:rPr>
        <w:t xml:space="preserve">Board </w:t>
      </w:r>
      <w:r>
        <w:rPr>
          <w:rFonts w:ascii="Arial" w:hAnsi="Arial" w:cs="Arial"/>
          <w:b/>
          <w:color w:val="660033"/>
          <w:sz w:val="24"/>
          <w:szCs w:val="24"/>
        </w:rPr>
        <w:t>Development</w:t>
      </w:r>
    </w:p>
    <w:p w14:paraId="64790496" w14:textId="352BB7C2" w:rsidR="007B591C" w:rsidRDefault="00D81AA5" w:rsidP="00D81AA5">
      <w:pPr>
        <w:pStyle w:val="Heading5"/>
        <w:numPr>
          <w:ilvl w:val="0"/>
          <w:numId w:val="0"/>
        </w:numPr>
        <w:spacing w:after="0"/>
        <w:ind w:left="680"/>
        <w:jc w:val="left"/>
        <w:rPr>
          <w:rFonts w:ascii="Arial" w:hAnsi="Arial" w:cs="Arial"/>
          <w:sz w:val="24"/>
          <w:szCs w:val="24"/>
        </w:rPr>
      </w:pPr>
      <w:r w:rsidRPr="00D81AA5">
        <w:rPr>
          <w:rFonts w:ascii="Arial" w:hAnsi="Arial" w:cs="Arial"/>
          <w:b/>
          <w:color w:val="660033"/>
          <w:sz w:val="24"/>
          <w:szCs w:val="24"/>
        </w:rPr>
        <w:br/>
      </w:r>
    </w:p>
    <w:p w14:paraId="2C98AD88" w14:textId="042C027A" w:rsidR="00D81AA5" w:rsidRDefault="00D81AA5" w:rsidP="00D81AA5">
      <w:pPr>
        <w:pStyle w:val="Heading5"/>
        <w:spacing w:before="0"/>
        <w:rPr>
          <w:rFonts w:ascii="Arial" w:hAnsi="Arial" w:cs="Arial"/>
          <w:sz w:val="24"/>
          <w:szCs w:val="24"/>
        </w:rPr>
      </w:pPr>
      <w:r>
        <w:rPr>
          <w:rFonts w:ascii="Arial" w:hAnsi="Arial" w:cs="Arial"/>
          <w:sz w:val="24"/>
          <w:szCs w:val="24"/>
        </w:rPr>
        <w:t xml:space="preserve">The Board has been through a significant development phase during 2018/19 with its membership extending from 13 members to 19 members during the last sixth months of the year. This recruitment included a targeted recruitment campaign to secure a further three female private sector Board members to ensure that the gender milestone target for 2020 was reached in February 2019, a year early.  </w:t>
      </w:r>
      <w:r>
        <w:rPr>
          <w:rFonts w:ascii="Arial" w:hAnsi="Arial" w:cs="Arial"/>
          <w:sz w:val="24"/>
          <w:szCs w:val="24"/>
        </w:rPr>
        <w:br/>
      </w:r>
    </w:p>
    <w:p w14:paraId="33B7443B" w14:textId="6BEB928C" w:rsidR="00D81AA5" w:rsidRDefault="00D81AA5" w:rsidP="007B591C">
      <w:pPr>
        <w:pStyle w:val="Heading5"/>
        <w:rPr>
          <w:rFonts w:ascii="Arial" w:hAnsi="Arial" w:cs="Arial"/>
          <w:sz w:val="24"/>
          <w:szCs w:val="24"/>
        </w:rPr>
      </w:pPr>
      <w:r>
        <w:rPr>
          <w:rFonts w:ascii="Arial" w:hAnsi="Arial" w:cs="Arial"/>
          <w:sz w:val="24"/>
          <w:szCs w:val="24"/>
        </w:rPr>
        <w:t xml:space="preserve">Another priority has been to ensure that succession planning arrangements were put in place for replacing the Deputy Chair, </w:t>
      </w:r>
      <w:r w:rsidR="001B7871">
        <w:rPr>
          <w:rFonts w:ascii="Arial" w:hAnsi="Arial" w:cs="Arial"/>
          <w:sz w:val="24"/>
          <w:szCs w:val="24"/>
        </w:rPr>
        <w:t xml:space="preserve">for whom government had agreed </w:t>
      </w:r>
      <w:r>
        <w:rPr>
          <w:rFonts w:ascii="Arial" w:hAnsi="Arial" w:cs="Arial"/>
          <w:sz w:val="24"/>
          <w:szCs w:val="24"/>
        </w:rPr>
        <w:t xml:space="preserve">an exceptional </w:t>
      </w:r>
      <w:r w:rsidR="001B7871">
        <w:rPr>
          <w:rFonts w:ascii="Arial" w:hAnsi="Arial" w:cs="Arial"/>
          <w:sz w:val="24"/>
          <w:szCs w:val="24"/>
        </w:rPr>
        <w:t xml:space="preserve">extension beyond six years, to allow a smooth handover period to the new Chair, who started in June 2018. The Deputy Chair stands down at the 17 May 2019 meeting, with her successor taking up appointment at that meeting subject to Board ratification. The ballot was completed on 26 April with the Deputy Chair appointed, subject to the Board’s ratification. A handover process is being put in place between the outgoing and incoming Deputy Chair, with the Chair and Chief Executive providing ongoing support to ensure a smooth transition.  </w:t>
      </w:r>
    </w:p>
    <w:p w14:paraId="4EA77C7B" w14:textId="7F418F6F" w:rsidR="00D81AA5" w:rsidRDefault="001B7871" w:rsidP="003B5E90">
      <w:pPr>
        <w:pStyle w:val="Heading5"/>
        <w:jc w:val="left"/>
        <w:rPr>
          <w:rFonts w:ascii="Arial" w:hAnsi="Arial" w:cs="Arial"/>
          <w:sz w:val="24"/>
          <w:szCs w:val="24"/>
        </w:rPr>
      </w:pPr>
      <w:r>
        <w:rPr>
          <w:rFonts w:ascii="Arial" w:hAnsi="Arial" w:cs="Arial"/>
          <w:sz w:val="24"/>
          <w:szCs w:val="24"/>
        </w:rPr>
        <w:t xml:space="preserve">A further targeted Board recruitment will be undertaken to replace the outgoing female Deputy Chair. This will be completed alongside a recruitment for an additional Board member to take up the remaining place to take the Board to its full complement of 20 members. </w:t>
      </w:r>
      <w:r w:rsidR="003B5E90">
        <w:rPr>
          <w:rFonts w:ascii="Arial" w:hAnsi="Arial" w:cs="Arial"/>
          <w:sz w:val="24"/>
          <w:szCs w:val="24"/>
        </w:rPr>
        <w:br/>
      </w:r>
    </w:p>
    <w:p w14:paraId="1128906F" w14:textId="6028B990" w:rsidR="003B5E90" w:rsidRDefault="003B5E90" w:rsidP="00D254E3">
      <w:pPr>
        <w:pStyle w:val="Heading5"/>
        <w:jc w:val="left"/>
        <w:rPr>
          <w:rFonts w:ascii="Arial" w:hAnsi="Arial" w:cs="Arial"/>
          <w:sz w:val="24"/>
          <w:szCs w:val="24"/>
        </w:rPr>
      </w:pPr>
      <w:r>
        <w:rPr>
          <w:rFonts w:ascii="Arial" w:hAnsi="Arial" w:cs="Arial"/>
          <w:sz w:val="24"/>
          <w:szCs w:val="24"/>
        </w:rPr>
        <w:t xml:space="preserve">CLEP will continue to ensure the ongoing development of its Board and continue to refine and develop its induction and training processes and incorporate the emerging programme being developed by the LEP Network. </w:t>
      </w:r>
      <w:r>
        <w:rPr>
          <w:rFonts w:ascii="Arial" w:hAnsi="Arial" w:cs="Arial"/>
          <w:sz w:val="24"/>
          <w:szCs w:val="24"/>
        </w:rPr>
        <w:br/>
      </w:r>
    </w:p>
    <w:p w14:paraId="269C32F4" w14:textId="77777777" w:rsidR="0036567A" w:rsidRDefault="003B5E90" w:rsidP="003B5E90">
      <w:pPr>
        <w:pStyle w:val="Heading5"/>
        <w:jc w:val="left"/>
        <w:rPr>
          <w:rFonts w:ascii="Arial" w:hAnsi="Arial" w:cs="Arial"/>
          <w:sz w:val="24"/>
          <w:szCs w:val="24"/>
        </w:rPr>
      </w:pPr>
      <w:r>
        <w:rPr>
          <w:rFonts w:ascii="Arial" w:hAnsi="Arial" w:cs="Arial"/>
          <w:sz w:val="24"/>
          <w:szCs w:val="24"/>
        </w:rPr>
        <w:t>Once the Board is at full complement a Board development day will take place, focused on collaborative leadership, strategic prioritisation and other Board priorit</w:t>
      </w:r>
      <w:r w:rsidR="0036567A">
        <w:rPr>
          <w:rFonts w:ascii="Arial" w:hAnsi="Arial" w:cs="Arial"/>
          <w:sz w:val="24"/>
          <w:szCs w:val="24"/>
        </w:rPr>
        <w:t xml:space="preserve">ies as identified by members. </w:t>
      </w:r>
      <w:r w:rsidR="0036567A">
        <w:rPr>
          <w:rFonts w:ascii="Arial" w:hAnsi="Arial" w:cs="Arial"/>
          <w:sz w:val="24"/>
          <w:szCs w:val="24"/>
        </w:rPr>
        <w:br/>
      </w:r>
    </w:p>
    <w:p w14:paraId="1563B2AA" w14:textId="515B8C9D" w:rsidR="003B5E90" w:rsidRDefault="003B5E90" w:rsidP="0036567A">
      <w:pPr>
        <w:pStyle w:val="Heading5"/>
        <w:numPr>
          <w:ilvl w:val="0"/>
          <w:numId w:val="0"/>
        </w:numPr>
        <w:jc w:val="left"/>
        <w:rPr>
          <w:rFonts w:ascii="Arial" w:hAnsi="Arial" w:cs="Arial"/>
          <w:sz w:val="24"/>
          <w:szCs w:val="24"/>
        </w:rPr>
      </w:pPr>
      <w:r w:rsidRPr="00D81AA5">
        <w:rPr>
          <w:rFonts w:ascii="Arial" w:hAnsi="Arial" w:cs="Arial"/>
          <w:b/>
          <w:color w:val="660033"/>
          <w:sz w:val="24"/>
          <w:szCs w:val="24"/>
        </w:rPr>
        <w:t>Governance Structure</w:t>
      </w:r>
    </w:p>
    <w:p w14:paraId="70758779" w14:textId="18C16760" w:rsidR="007B591C" w:rsidRDefault="00093813" w:rsidP="007B591C">
      <w:pPr>
        <w:pStyle w:val="Heading5"/>
        <w:rPr>
          <w:rFonts w:ascii="Arial" w:hAnsi="Arial" w:cs="Arial"/>
          <w:sz w:val="24"/>
          <w:szCs w:val="24"/>
        </w:rPr>
      </w:pPr>
      <w:r>
        <w:rPr>
          <w:rFonts w:ascii="Arial" w:hAnsi="Arial" w:cs="Arial"/>
          <w:sz w:val="24"/>
          <w:szCs w:val="24"/>
        </w:rPr>
        <w:t>Significant progress has been made in implementing the new governance structure, with the majority of the sub-Board governance bodies now on their second meeting under the new arrangements. The structure is outlined below:</w:t>
      </w:r>
    </w:p>
    <w:p w14:paraId="0FD2383A" w14:textId="5681A77C" w:rsidR="00093813" w:rsidRDefault="00093813" w:rsidP="00093813">
      <w:pPr>
        <w:pStyle w:val="Heading5"/>
        <w:numPr>
          <w:ilvl w:val="0"/>
          <w:numId w:val="0"/>
        </w:numPr>
        <w:ind w:left="680"/>
        <w:rPr>
          <w:rFonts w:ascii="Arial" w:hAnsi="Arial" w:cs="Arial"/>
          <w:noProof/>
          <w:sz w:val="24"/>
          <w:szCs w:val="24"/>
          <w:lang w:val="en-US"/>
        </w:rPr>
      </w:pPr>
    </w:p>
    <w:p w14:paraId="624180EF" w14:textId="7D859A3B" w:rsidR="00467574" w:rsidRDefault="00467574" w:rsidP="00093813">
      <w:pPr>
        <w:pStyle w:val="Heading5"/>
        <w:numPr>
          <w:ilvl w:val="0"/>
          <w:numId w:val="0"/>
        </w:numPr>
        <w:ind w:left="680"/>
        <w:rPr>
          <w:rFonts w:ascii="Arial" w:hAnsi="Arial" w:cs="Arial"/>
          <w:noProof/>
          <w:sz w:val="24"/>
          <w:szCs w:val="24"/>
          <w:lang w:val="en-US"/>
        </w:rPr>
      </w:pPr>
    </w:p>
    <w:p w14:paraId="05FC3F59" w14:textId="1EE136EB" w:rsidR="00467574" w:rsidRDefault="00D254E3" w:rsidP="00093813">
      <w:pPr>
        <w:pStyle w:val="Heading5"/>
        <w:numPr>
          <w:ilvl w:val="0"/>
          <w:numId w:val="0"/>
        </w:numPr>
        <w:ind w:left="680"/>
        <w:rPr>
          <w:rFonts w:ascii="Arial" w:hAnsi="Arial" w:cs="Arial"/>
          <w:sz w:val="24"/>
          <w:szCs w:val="24"/>
        </w:rPr>
      </w:pPr>
      <w:r w:rsidRPr="00D254E3">
        <w:rPr>
          <w:rFonts w:eastAsia="Calibri" w:cs="Arial"/>
          <w:b/>
          <w:i/>
          <w:noProof/>
          <w:color w:val="FF0000"/>
          <w:sz w:val="22"/>
          <w:szCs w:val="22"/>
          <w:lang w:eastAsia="en-GB"/>
        </w:rPr>
        <w:drawing>
          <wp:inline distT="0" distB="0" distL="0" distR="0" wp14:anchorId="410486C0" wp14:editId="145CC786">
            <wp:extent cx="5976620" cy="3578854"/>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6620" cy="3578854"/>
                    </a:xfrm>
                    <a:prstGeom prst="rect">
                      <a:avLst/>
                    </a:prstGeom>
                    <a:noFill/>
                  </pic:spPr>
                </pic:pic>
              </a:graphicData>
            </a:graphic>
          </wp:inline>
        </w:drawing>
      </w:r>
    </w:p>
    <w:p w14:paraId="19F8D0C2" w14:textId="77777777" w:rsidR="00D254E3" w:rsidRDefault="00D254E3" w:rsidP="00093813">
      <w:pPr>
        <w:pStyle w:val="Heading5"/>
        <w:numPr>
          <w:ilvl w:val="0"/>
          <w:numId w:val="0"/>
        </w:numPr>
        <w:ind w:left="680"/>
        <w:rPr>
          <w:rFonts w:ascii="Arial" w:hAnsi="Arial" w:cs="Arial"/>
          <w:sz w:val="24"/>
          <w:szCs w:val="24"/>
        </w:rPr>
      </w:pPr>
    </w:p>
    <w:p w14:paraId="09782732" w14:textId="6A29170E" w:rsidR="00BE4D2E" w:rsidRPr="00BE4D2E" w:rsidRDefault="00093813" w:rsidP="00BE4D2E">
      <w:pPr>
        <w:pStyle w:val="Heading5"/>
        <w:jc w:val="left"/>
        <w:rPr>
          <w:rFonts w:ascii="Arial" w:hAnsi="Arial" w:cs="Arial"/>
          <w:sz w:val="24"/>
          <w:szCs w:val="24"/>
        </w:rPr>
      </w:pPr>
      <w:r>
        <w:rPr>
          <w:rFonts w:ascii="Arial" w:hAnsi="Arial" w:cs="Arial"/>
          <w:sz w:val="24"/>
          <w:szCs w:val="24"/>
        </w:rPr>
        <w:t xml:space="preserve">The main </w:t>
      </w:r>
      <w:r w:rsidR="00BE4D2E">
        <w:rPr>
          <w:rFonts w:ascii="Arial" w:hAnsi="Arial" w:cs="Arial"/>
          <w:sz w:val="24"/>
          <w:szCs w:val="24"/>
        </w:rPr>
        <w:t xml:space="preserve">governance </w:t>
      </w:r>
      <w:r>
        <w:rPr>
          <w:rFonts w:ascii="Arial" w:hAnsi="Arial" w:cs="Arial"/>
          <w:sz w:val="24"/>
          <w:szCs w:val="24"/>
        </w:rPr>
        <w:t xml:space="preserve">priority for 2019/20 is to </w:t>
      </w:r>
      <w:r w:rsidR="00BE4D2E">
        <w:rPr>
          <w:rFonts w:ascii="Arial" w:hAnsi="Arial" w:cs="Arial"/>
          <w:sz w:val="24"/>
          <w:szCs w:val="24"/>
        </w:rPr>
        <w:t xml:space="preserve">embed the new </w:t>
      </w:r>
      <w:r w:rsidR="00D254E3">
        <w:rPr>
          <w:rFonts w:ascii="Arial" w:hAnsi="Arial" w:cs="Arial"/>
          <w:sz w:val="24"/>
          <w:szCs w:val="24"/>
        </w:rPr>
        <w:t>Local Enterp</w:t>
      </w:r>
      <w:r w:rsidR="00A8242C">
        <w:rPr>
          <w:rFonts w:ascii="Arial" w:hAnsi="Arial" w:cs="Arial"/>
          <w:sz w:val="24"/>
          <w:szCs w:val="24"/>
        </w:rPr>
        <w:t>rise Partnership Scrutiny Board</w:t>
      </w:r>
      <w:r w:rsidR="00BE4D2E">
        <w:rPr>
          <w:rFonts w:ascii="Arial" w:hAnsi="Arial" w:cs="Arial"/>
          <w:sz w:val="24"/>
          <w:szCs w:val="24"/>
        </w:rPr>
        <w:t xml:space="preserve">. It was agreed that until this was operational </w:t>
      </w:r>
      <w:r w:rsidR="00BE4D2E" w:rsidRPr="00BE4D2E">
        <w:rPr>
          <w:rFonts w:ascii="Arial" w:hAnsi="Arial" w:cs="Arial"/>
          <w:sz w:val="24"/>
          <w:szCs w:val="24"/>
        </w:rPr>
        <w:t>the Accountable Body’s Scrutiny Management Board would undertake the role on an interim basis</w:t>
      </w:r>
      <w:r w:rsidR="00BE4D2E">
        <w:rPr>
          <w:rFonts w:ascii="Arial" w:hAnsi="Arial" w:cs="Arial"/>
          <w:sz w:val="24"/>
          <w:szCs w:val="24"/>
        </w:rPr>
        <w:t>, with it holding</w:t>
      </w:r>
      <w:r w:rsidR="00BE4D2E" w:rsidRPr="00BE4D2E">
        <w:rPr>
          <w:rFonts w:ascii="Arial" w:hAnsi="Arial" w:cs="Arial"/>
          <w:sz w:val="24"/>
          <w:szCs w:val="24"/>
        </w:rPr>
        <w:t xml:space="preserve"> a special meeting on 12 March 2019 to complete an annual review of CLEP’s governance, delivery and strategy in line with the national Annual Performance Review Framework. This special meeting, with co-opted members from the district authorities</w:t>
      </w:r>
      <w:r w:rsidR="00B0337C">
        <w:rPr>
          <w:rFonts w:ascii="Arial" w:hAnsi="Arial" w:cs="Arial"/>
          <w:sz w:val="24"/>
          <w:szCs w:val="24"/>
        </w:rPr>
        <w:t>,</w:t>
      </w:r>
      <w:r w:rsidR="00BE4D2E" w:rsidRPr="00BE4D2E">
        <w:rPr>
          <w:rFonts w:ascii="Arial" w:hAnsi="Arial" w:cs="Arial"/>
          <w:sz w:val="24"/>
          <w:szCs w:val="24"/>
        </w:rPr>
        <w:t xml:space="preserve"> reviewed CLEP’s performance on these domains, including progress on developing the Local Industrial Strategy.  This was alongside </w:t>
      </w:r>
      <w:r w:rsidR="00BE4D2E">
        <w:rPr>
          <w:rFonts w:ascii="Arial" w:hAnsi="Arial" w:cs="Arial"/>
          <w:sz w:val="24"/>
          <w:szCs w:val="24"/>
        </w:rPr>
        <w:t xml:space="preserve">CLEP </w:t>
      </w:r>
      <w:r w:rsidR="00BE4D2E" w:rsidRPr="00BE4D2E">
        <w:rPr>
          <w:rFonts w:ascii="Arial" w:hAnsi="Arial" w:cs="Arial"/>
          <w:sz w:val="24"/>
          <w:szCs w:val="24"/>
        </w:rPr>
        <w:t xml:space="preserve">attending seven separate Scrutiny Committees hosted by individual Local </w:t>
      </w:r>
      <w:r w:rsidR="00BE4D2E">
        <w:rPr>
          <w:rFonts w:ascii="Arial" w:hAnsi="Arial" w:cs="Arial"/>
          <w:sz w:val="24"/>
          <w:szCs w:val="24"/>
        </w:rPr>
        <w:t>A</w:t>
      </w:r>
      <w:r w:rsidR="00BE4D2E" w:rsidRPr="00BE4D2E">
        <w:rPr>
          <w:rFonts w:ascii="Arial" w:hAnsi="Arial" w:cs="Arial"/>
          <w:sz w:val="24"/>
          <w:szCs w:val="24"/>
        </w:rPr>
        <w:t>uthorities during 2018/19.</w:t>
      </w:r>
      <w:r w:rsidR="00BE4D2E">
        <w:rPr>
          <w:rFonts w:ascii="Arial" w:hAnsi="Arial" w:cs="Arial"/>
          <w:sz w:val="24"/>
          <w:szCs w:val="24"/>
        </w:rPr>
        <w:br/>
      </w:r>
    </w:p>
    <w:p w14:paraId="30529530" w14:textId="456671BE" w:rsidR="00BE4D2E" w:rsidRPr="00B0337C" w:rsidRDefault="00BE4D2E" w:rsidP="0012331F">
      <w:pPr>
        <w:pStyle w:val="Heading5"/>
        <w:rPr>
          <w:rFonts w:ascii="Arial" w:hAnsi="Arial" w:cs="Arial"/>
          <w:sz w:val="24"/>
          <w:szCs w:val="24"/>
        </w:rPr>
      </w:pPr>
      <w:r w:rsidRPr="00B0337C">
        <w:rPr>
          <w:rFonts w:ascii="Arial" w:hAnsi="Arial" w:cs="Arial"/>
          <w:sz w:val="24"/>
          <w:szCs w:val="24"/>
        </w:rPr>
        <w:t xml:space="preserve">The Accountable Body approved the new </w:t>
      </w:r>
      <w:r w:rsidR="00D254E3">
        <w:rPr>
          <w:rFonts w:ascii="Arial" w:hAnsi="Arial" w:cs="Arial"/>
          <w:sz w:val="24"/>
          <w:szCs w:val="24"/>
        </w:rPr>
        <w:t>Local Enterprise scrutiny Board</w:t>
      </w:r>
      <w:r w:rsidRPr="00B0337C">
        <w:rPr>
          <w:rFonts w:ascii="Arial" w:hAnsi="Arial" w:cs="Arial"/>
          <w:sz w:val="24"/>
          <w:szCs w:val="24"/>
        </w:rPr>
        <w:t xml:space="preserve"> and the proposals for LEP scrutiny at its annual meeting on 11 April and established a new committee with 14 voting County Council members and 6 voting co-opted members from the District Councils.  The Committee’s sole remit will be LEP Scrutiny, with the Accountable Body </w:t>
      </w:r>
      <w:r w:rsidR="00B0337C" w:rsidRPr="00B0337C">
        <w:rPr>
          <w:rFonts w:ascii="Arial" w:hAnsi="Arial" w:cs="Arial"/>
          <w:sz w:val="24"/>
          <w:szCs w:val="24"/>
        </w:rPr>
        <w:t xml:space="preserve">servicing this </w:t>
      </w:r>
      <w:r w:rsidR="00D254E3">
        <w:rPr>
          <w:rFonts w:ascii="Arial" w:hAnsi="Arial" w:cs="Arial"/>
          <w:sz w:val="24"/>
          <w:szCs w:val="24"/>
        </w:rPr>
        <w:t>Board</w:t>
      </w:r>
      <w:r w:rsidR="00B0337C" w:rsidRPr="00B0337C">
        <w:rPr>
          <w:rFonts w:ascii="Arial" w:hAnsi="Arial" w:cs="Arial"/>
          <w:sz w:val="24"/>
          <w:szCs w:val="24"/>
        </w:rPr>
        <w:t xml:space="preserve">, which will meet twice per year, with the inaugural meeting taking place on 12 September 2019. In advance of this a training session will take place for all elected members involved in the </w:t>
      </w:r>
      <w:r w:rsidR="00D254E3">
        <w:rPr>
          <w:rFonts w:ascii="Arial" w:hAnsi="Arial" w:cs="Arial"/>
          <w:sz w:val="24"/>
          <w:szCs w:val="24"/>
        </w:rPr>
        <w:t>Board</w:t>
      </w:r>
      <w:r w:rsidR="00B0337C" w:rsidRPr="00B0337C">
        <w:rPr>
          <w:rFonts w:ascii="Arial" w:hAnsi="Arial" w:cs="Arial"/>
          <w:sz w:val="24"/>
          <w:szCs w:val="24"/>
        </w:rPr>
        <w:t xml:space="preserve">. CLEP has made it clear that the </w:t>
      </w:r>
      <w:r w:rsidR="00D254E3">
        <w:rPr>
          <w:rFonts w:ascii="Arial" w:hAnsi="Arial" w:cs="Arial"/>
          <w:sz w:val="24"/>
          <w:szCs w:val="24"/>
        </w:rPr>
        <w:t>Board</w:t>
      </w:r>
      <w:r w:rsidR="00B0337C" w:rsidRPr="00B0337C">
        <w:rPr>
          <w:rFonts w:ascii="Arial" w:hAnsi="Arial" w:cs="Arial"/>
          <w:sz w:val="24"/>
          <w:szCs w:val="24"/>
        </w:rPr>
        <w:t xml:space="preserve"> will be totally managed by the Accountable Body, and the Chair and the Chief Executive will report to it, on behalf of CLEP. </w:t>
      </w:r>
      <w:r w:rsidRPr="00B0337C">
        <w:rPr>
          <w:rFonts w:ascii="Arial" w:hAnsi="Arial" w:cs="Arial"/>
          <w:sz w:val="24"/>
          <w:szCs w:val="24"/>
        </w:rPr>
        <w:t xml:space="preserve">  </w:t>
      </w:r>
    </w:p>
    <w:p w14:paraId="01BDAE60" w14:textId="77777777" w:rsidR="0036567A" w:rsidRPr="0036567A" w:rsidRDefault="00B0337C" w:rsidP="00F757A4">
      <w:pPr>
        <w:pStyle w:val="Heading5"/>
        <w:rPr>
          <w:rFonts w:ascii="Arial" w:hAnsi="Arial" w:cs="Arial"/>
          <w:color w:val="660033"/>
          <w:sz w:val="24"/>
          <w:szCs w:val="24"/>
        </w:rPr>
      </w:pPr>
      <w:r w:rsidRPr="00F544F5">
        <w:rPr>
          <w:rFonts w:ascii="Arial" w:hAnsi="Arial" w:cs="Arial"/>
          <w:sz w:val="24"/>
          <w:szCs w:val="24"/>
        </w:rPr>
        <w:t xml:space="preserve">The strong progress made to date means that the focus is on maintaining that momentum and ensuring that all sub-Board bodies are </w:t>
      </w:r>
      <w:r w:rsidR="00F544F5">
        <w:rPr>
          <w:rFonts w:ascii="Arial" w:hAnsi="Arial" w:cs="Arial"/>
          <w:sz w:val="24"/>
          <w:szCs w:val="24"/>
        </w:rPr>
        <w:t xml:space="preserve">operating </w:t>
      </w:r>
      <w:r w:rsidR="008544E2">
        <w:rPr>
          <w:rFonts w:ascii="Arial" w:hAnsi="Arial" w:cs="Arial"/>
          <w:sz w:val="24"/>
          <w:szCs w:val="24"/>
        </w:rPr>
        <w:t xml:space="preserve">to a consistently high standard with a focus on implementing the LIS. The focus during Quarter 1 will be on formalising the operations of the two Sector Panels </w:t>
      </w:r>
      <w:r w:rsidR="00F757A4">
        <w:rPr>
          <w:rFonts w:ascii="Arial" w:hAnsi="Arial" w:cs="Arial"/>
          <w:sz w:val="24"/>
          <w:szCs w:val="24"/>
        </w:rPr>
        <w:t xml:space="preserve">- </w:t>
      </w:r>
      <w:r w:rsidRPr="00F544F5">
        <w:rPr>
          <w:rFonts w:ascii="Arial" w:hAnsi="Arial" w:cs="Arial"/>
          <w:sz w:val="24"/>
          <w:szCs w:val="24"/>
        </w:rPr>
        <w:t xml:space="preserve">Construction and Professional Services – </w:t>
      </w:r>
      <w:r w:rsidR="00F757A4">
        <w:rPr>
          <w:rFonts w:ascii="Arial" w:hAnsi="Arial" w:cs="Arial"/>
          <w:sz w:val="24"/>
          <w:szCs w:val="24"/>
        </w:rPr>
        <w:t>that a</w:t>
      </w:r>
      <w:r w:rsidR="00F544F5" w:rsidRPr="00F544F5">
        <w:rPr>
          <w:rFonts w:ascii="Arial" w:hAnsi="Arial" w:cs="Arial"/>
          <w:sz w:val="24"/>
          <w:szCs w:val="24"/>
        </w:rPr>
        <w:t xml:space="preserve">re still in the developmental phase, </w:t>
      </w:r>
      <w:r w:rsidR="00F757A4">
        <w:rPr>
          <w:rFonts w:ascii="Arial" w:hAnsi="Arial" w:cs="Arial"/>
          <w:sz w:val="24"/>
          <w:szCs w:val="24"/>
        </w:rPr>
        <w:t xml:space="preserve">to move these </w:t>
      </w:r>
      <w:r w:rsidR="00F544F5" w:rsidRPr="00F544F5">
        <w:rPr>
          <w:rFonts w:ascii="Arial" w:hAnsi="Arial" w:cs="Arial"/>
          <w:sz w:val="24"/>
          <w:szCs w:val="24"/>
        </w:rPr>
        <w:t>to formal meeting cycle</w:t>
      </w:r>
      <w:r w:rsidR="00F757A4">
        <w:rPr>
          <w:rFonts w:ascii="Arial" w:hAnsi="Arial" w:cs="Arial"/>
          <w:sz w:val="24"/>
          <w:szCs w:val="24"/>
        </w:rPr>
        <w:t>s. One of the n</w:t>
      </w:r>
      <w:r w:rsidR="00F544F5" w:rsidRPr="00F544F5">
        <w:rPr>
          <w:rFonts w:ascii="Arial" w:hAnsi="Arial" w:cs="Arial"/>
          <w:sz w:val="24"/>
          <w:szCs w:val="24"/>
        </w:rPr>
        <w:t>ew</w:t>
      </w:r>
      <w:r w:rsidR="008544E2">
        <w:rPr>
          <w:rFonts w:ascii="Arial" w:hAnsi="Arial" w:cs="Arial"/>
          <w:sz w:val="24"/>
          <w:szCs w:val="24"/>
        </w:rPr>
        <w:t>ly-appointed</w:t>
      </w:r>
      <w:r w:rsidR="00F544F5" w:rsidRPr="00F544F5">
        <w:rPr>
          <w:rFonts w:ascii="Arial" w:hAnsi="Arial" w:cs="Arial"/>
          <w:sz w:val="24"/>
          <w:szCs w:val="24"/>
        </w:rPr>
        <w:t xml:space="preserve"> Board members</w:t>
      </w:r>
      <w:r w:rsidR="00F757A4">
        <w:rPr>
          <w:rFonts w:ascii="Arial" w:hAnsi="Arial" w:cs="Arial"/>
          <w:sz w:val="24"/>
          <w:szCs w:val="24"/>
        </w:rPr>
        <w:t xml:space="preserve">, with specific experience in construction, has </w:t>
      </w:r>
      <w:r w:rsidR="00F544F5" w:rsidRPr="00F544F5">
        <w:rPr>
          <w:rFonts w:ascii="Arial" w:hAnsi="Arial" w:cs="Arial"/>
          <w:sz w:val="24"/>
          <w:szCs w:val="24"/>
        </w:rPr>
        <w:t>be</w:t>
      </w:r>
      <w:r w:rsidR="00F757A4">
        <w:rPr>
          <w:rFonts w:ascii="Arial" w:hAnsi="Arial" w:cs="Arial"/>
          <w:sz w:val="24"/>
          <w:szCs w:val="24"/>
        </w:rPr>
        <w:t>en</w:t>
      </w:r>
      <w:r w:rsidR="00F544F5" w:rsidRPr="00F544F5">
        <w:rPr>
          <w:rFonts w:ascii="Arial" w:hAnsi="Arial" w:cs="Arial"/>
          <w:sz w:val="24"/>
          <w:szCs w:val="24"/>
        </w:rPr>
        <w:t xml:space="preserve"> appointed to Chair the Construction Sector Panel.</w:t>
      </w:r>
    </w:p>
    <w:p w14:paraId="0EBBBA75" w14:textId="64D74DB3" w:rsidR="00F757A4" w:rsidRPr="003B5E90" w:rsidRDefault="003B5E90" w:rsidP="0036567A">
      <w:pPr>
        <w:pStyle w:val="Heading5"/>
        <w:numPr>
          <w:ilvl w:val="0"/>
          <w:numId w:val="0"/>
        </w:numPr>
        <w:rPr>
          <w:rFonts w:ascii="Arial" w:hAnsi="Arial" w:cs="Arial"/>
          <w:color w:val="660033"/>
          <w:sz w:val="24"/>
          <w:szCs w:val="24"/>
        </w:rPr>
      </w:pPr>
      <w:r w:rsidRPr="003B5E90">
        <w:rPr>
          <w:rFonts w:ascii="Arial" w:hAnsi="Arial" w:cs="Arial"/>
          <w:b/>
          <w:color w:val="660033"/>
          <w:sz w:val="24"/>
          <w:szCs w:val="24"/>
        </w:rPr>
        <w:t>Further Priorities</w:t>
      </w:r>
    </w:p>
    <w:p w14:paraId="0C4ABFBA" w14:textId="732848E1" w:rsidR="00F757A4" w:rsidRDefault="00F757A4" w:rsidP="00F757A4">
      <w:pPr>
        <w:pStyle w:val="Heading5"/>
        <w:rPr>
          <w:rFonts w:ascii="Arial" w:hAnsi="Arial" w:cs="Arial"/>
          <w:sz w:val="24"/>
          <w:szCs w:val="24"/>
        </w:rPr>
      </w:pPr>
      <w:r>
        <w:rPr>
          <w:rFonts w:ascii="Arial" w:hAnsi="Arial" w:cs="Arial"/>
          <w:sz w:val="24"/>
          <w:szCs w:val="24"/>
        </w:rPr>
        <w:t xml:space="preserve">Other priority activities for 2019/20 </w:t>
      </w:r>
      <w:r w:rsidR="00B7702D">
        <w:rPr>
          <w:rFonts w:ascii="Arial" w:hAnsi="Arial" w:cs="Arial"/>
          <w:sz w:val="24"/>
          <w:szCs w:val="24"/>
        </w:rPr>
        <w:t>are</w:t>
      </w:r>
      <w:r>
        <w:rPr>
          <w:rFonts w:ascii="Arial" w:hAnsi="Arial" w:cs="Arial"/>
          <w:sz w:val="24"/>
          <w:szCs w:val="24"/>
        </w:rPr>
        <w:t>:</w:t>
      </w:r>
    </w:p>
    <w:p w14:paraId="070F3B88" w14:textId="0043FB10" w:rsidR="00B7702D" w:rsidRPr="003B5E90" w:rsidRDefault="00B7702D" w:rsidP="00F757A4">
      <w:pPr>
        <w:pStyle w:val="Heading7"/>
        <w:jc w:val="left"/>
        <w:rPr>
          <w:rFonts w:ascii="Arial" w:hAnsi="Arial" w:cs="Arial"/>
          <w:b/>
          <w:i/>
          <w:sz w:val="24"/>
          <w:szCs w:val="24"/>
        </w:rPr>
      </w:pPr>
      <w:r w:rsidRPr="003B5E90">
        <w:rPr>
          <w:rFonts w:ascii="Arial" w:hAnsi="Arial" w:cs="Arial"/>
          <w:b/>
          <w:i/>
          <w:sz w:val="24"/>
          <w:szCs w:val="24"/>
        </w:rPr>
        <w:t xml:space="preserve">Diversity </w:t>
      </w:r>
      <w:r w:rsidR="003B5E90">
        <w:rPr>
          <w:rFonts w:ascii="Arial" w:hAnsi="Arial" w:cs="Arial"/>
          <w:b/>
          <w:i/>
          <w:sz w:val="24"/>
          <w:szCs w:val="24"/>
        </w:rPr>
        <w:t>R</w:t>
      </w:r>
      <w:r w:rsidRPr="003B5E90">
        <w:rPr>
          <w:rFonts w:ascii="Arial" w:hAnsi="Arial" w:cs="Arial"/>
          <w:b/>
          <w:i/>
          <w:sz w:val="24"/>
          <w:szCs w:val="24"/>
        </w:rPr>
        <w:t>eport</w:t>
      </w:r>
      <w:r w:rsidR="003B5E90">
        <w:rPr>
          <w:rFonts w:ascii="Arial" w:hAnsi="Arial" w:cs="Arial"/>
          <w:b/>
          <w:i/>
          <w:sz w:val="24"/>
          <w:szCs w:val="24"/>
        </w:rPr>
        <w:t xml:space="preserve"> – </w:t>
      </w:r>
      <w:r w:rsidR="003B5E90" w:rsidRPr="003B5E90">
        <w:rPr>
          <w:rFonts w:ascii="Arial" w:hAnsi="Arial" w:cs="Arial"/>
          <w:sz w:val="24"/>
          <w:szCs w:val="24"/>
        </w:rPr>
        <w:t xml:space="preserve">producing CLEP’s first report on this outlining our commitment and </w:t>
      </w:r>
      <w:r w:rsidR="003B5E90">
        <w:rPr>
          <w:rFonts w:ascii="Arial" w:hAnsi="Arial" w:cs="Arial"/>
          <w:sz w:val="24"/>
          <w:szCs w:val="24"/>
        </w:rPr>
        <w:t>delivery on diversity and our priorities going forward.</w:t>
      </w:r>
    </w:p>
    <w:p w14:paraId="4A892D62" w14:textId="45C3E404" w:rsidR="00B7702D" w:rsidRPr="00B7702D" w:rsidRDefault="00B7702D" w:rsidP="00F757A4">
      <w:pPr>
        <w:pStyle w:val="Heading7"/>
        <w:jc w:val="left"/>
        <w:rPr>
          <w:rFonts w:ascii="Arial" w:hAnsi="Arial" w:cs="Arial"/>
          <w:sz w:val="24"/>
          <w:szCs w:val="24"/>
        </w:rPr>
      </w:pPr>
      <w:r w:rsidRPr="00B7702D">
        <w:rPr>
          <w:rFonts w:ascii="Arial" w:hAnsi="Arial" w:cs="Arial"/>
          <w:b/>
          <w:i/>
          <w:sz w:val="24"/>
          <w:szCs w:val="24"/>
        </w:rPr>
        <w:t>LIS Work Programme</w:t>
      </w:r>
      <w:r>
        <w:rPr>
          <w:rFonts w:ascii="Arial" w:hAnsi="Arial" w:cs="Arial"/>
          <w:sz w:val="24"/>
          <w:szCs w:val="24"/>
        </w:rPr>
        <w:t xml:space="preserve"> – developing the work programmes to implement the LIS in Cumbria, and securing partnership buy-in to the delivery and resourcing of these.</w:t>
      </w:r>
    </w:p>
    <w:p w14:paraId="06FEF17E" w14:textId="7D833308" w:rsidR="00B7702D" w:rsidRDefault="00F757A4" w:rsidP="00F757A4">
      <w:pPr>
        <w:pStyle w:val="Heading7"/>
        <w:jc w:val="left"/>
        <w:rPr>
          <w:rFonts w:ascii="Arial" w:hAnsi="Arial" w:cs="Arial"/>
          <w:sz w:val="24"/>
          <w:szCs w:val="24"/>
        </w:rPr>
      </w:pPr>
      <w:r w:rsidRPr="00F757A4">
        <w:rPr>
          <w:rFonts w:ascii="Arial" w:hAnsi="Arial" w:cs="Arial"/>
          <w:b/>
          <w:i/>
          <w:sz w:val="24"/>
          <w:szCs w:val="24"/>
        </w:rPr>
        <w:t>Annual General Meeting</w:t>
      </w:r>
      <w:r>
        <w:rPr>
          <w:rFonts w:ascii="Arial" w:hAnsi="Arial" w:cs="Arial"/>
          <w:sz w:val="24"/>
          <w:szCs w:val="24"/>
        </w:rPr>
        <w:t xml:space="preserve"> </w:t>
      </w:r>
      <w:r w:rsidR="00B7702D">
        <w:rPr>
          <w:rFonts w:ascii="Arial" w:hAnsi="Arial" w:cs="Arial"/>
          <w:sz w:val="24"/>
          <w:szCs w:val="24"/>
        </w:rPr>
        <w:t>–</w:t>
      </w:r>
      <w:r>
        <w:rPr>
          <w:rFonts w:ascii="Arial" w:hAnsi="Arial" w:cs="Arial"/>
          <w:sz w:val="24"/>
          <w:szCs w:val="24"/>
        </w:rPr>
        <w:t xml:space="preserve"> </w:t>
      </w:r>
      <w:r w:rsidR="00B7702D">
        <w:rPr>
          <w:rFonts w:ascii="Arial" w:hAnsi="Arial" w:cs="Arial"/>
          <w:sz w:val="24"/>
          <w:szCs w:val="24"/>
        </w:rPr>
        <w:t>ensuring that the next AGM on 27 September 2019 builds upon the successful AGM in 2018 and secures strong evidence and interest in scrutinising CLEP and its activities.</w:t>
      </w:r>
    </w:p>
    <w:p w14:paraId="5DB99724" w14:textId="4E40E40B" w:rsidR="007B591C" w:rsidRPr="00F757A4" w:rsidRDefault="00B7702D" w:rsidP="00F757A4">
      <w:pPr>
        <w:pStyle w:val="Heading7"/>
        <w:jc w:val="left"/>
        <w:rPr>
          <w:rFonts w:ascii="Arial" w:hAnsi="Arial" w:cs="Arial"/>
          <w:sz w:val="24"/>
          <w:szCs w:val="24"/>
        </w:rPr>
      </w:pPr>
      <w:r w:rsidRPr="00B7702D">
        <w:rPr>
          <w:rFonts w:ascii="Arial" w:hAnsi="Arial" w:cs="Arial"/>
          <w:b/>
          <w:i/>
          <w:sz w:val="24"/>
          <w:szCs w:val="24"/>
        </w:rPr>
        <w:t>Governance Review</w:t>
      </w:r>
      <w:r>
        <w:rPr>
          <w:rFonts w:ascii="Arial" w:hAnsi="Arial" w:cs="Arial"/>
          <w:sz w:val="24"/>
          <w:szCs w:val="24"/>
        </w:rPr>
        <w:t xml:space="preserve"> – completing a review of the </w:t>
      </w:r>
      <w:r w:rsidR="003B5E90">
        <w:rPr>
          <w:rFonts w:ascii="Arial" w:hAnsi="Arial" w:cs="Arial"/>
          <w:sz w:val="24"/>
          <w:szCs w:val="24"/>
        </w:rPr>
        <w:t xml:space="preserve">new governance arrangements in September 2019, one year after the start of its implementation. </w:t>
      </w:r>
      <w:r w:rsidR="00F757A4" w:rsidRPr="00F757A4">
        <w:rPr>
          <w:rFonts w:ascii="Arial" w:hAnsi="Arial" w:cs="Arial"/>
          <w:sz w:val="24"/>
          <w:szCs w:val="24"/>
        </w:rPr>
        <w:br/>
      </w:r>
    </w:p>
    <w:p w14:paraId="1F9DDB1D" w14:textId="06E01C2E" w:rsidR="00E2595C" w:rsidRPr="00B7702D" w:rsidRDefault="00B7702D" w:rsidP="00B7702D">
      <w:pPr>
        <w:pStyle w:val="Heading1"/>
        <w:rPr>
          <w:rFonts w:ascii="Arial" w:hAnsi="Arial" w:cs="Arial"/>
          <w:sz w:val="24"/>
          <w:szCs w:val="24"/>
        </w:rPr>
      </w:pPr>
      <w:r>
        <w:t>Establishing CLEP as a Company</w:t>
      </w:r>
    </w:p>
    <w:p w14:paraId="5EA5BB6B" w14:textId="2ACEDED8" w:rsidR="00B7702D" w:rsidRDefault="003B5E90" w:rsidP="008564EC">
      <w:pPr>
        <w:pStyle w:val="Heading5"/>
        <w:jc w:val="left"/>
        <w:rPr>
          <w:rFonts w:ascii="Arial" w:hAnsi="Arial" w:cs="Arial"/>
          <w:sz w:val="24"/>
          <w:szCs w:val="24"/>
        </w:rPr>
      </w:pPr>
      <w:r>
        <w:rPr>
          <w:rFonts w:ascii="Arial" w:hAnsi="Arial" w:cs="Arial"/>
          <w:sz w:val="24"/>
          <w:szCs w:val="24"/>
        </w:rPr>
        <w:t xml:space="preserve">On 17 December 2018 CLEP became a company limited by guarantee, with the Board agreeing that the company should be fully operational by the new financial year 2019/20. </w:t>
      </w:r>
      <w:r>
        <w:rPr>
          <w:rFonts w:ascii="Arial" w:hAnsi="Arial" w:cs="Arial"/>
          <w:sz w:val="24"/>
          <w:szCs w:val="24"/>
        </w:rPr>
        <w:br/>
      </w:r>
    </w:p>
    <w:p w14:paraId="31557378" w14:textId="363BA1D4" w:rsidR="00974C8E" w:rsidRDefault="003B5E90" w:rsidP="00974C8E">
      <w:pPr>
        <w:pStyle w:val="Heading5"/>
        <w:jc w:val="left"/>
        <w:rPr>
          <w:rFonts w:ascii="Arial" w:hAnsi="Arial" w:cs="Arial"/>
          <w:sz w:val="24"/>
          <w:szCs w:val="24"/>
        </w:rPr>
      </w:pPr>
      <w:r>
        <w:rPr>
          <w:rFonts w:ascii="Arial" w:hAnsi="Arial" w:cs="Arial"/>
          <w:sz w:val="24"/>
          <w:szCs w:val="24"/>
        </w:rPr>
        <w:t>At its Board meeting on 29 March 2019 the first meeting of the new company took place, following the Board meeting, to a</w:t>
      </w:r>
      <w:r w:rsidR="00974C8E">
        <w:rPr>
          <w:rFonts w:ascii="Arial" w:hAnsi="Arial" w:cs="Arial"/>
          <w:sz w:val="24"/>
          <w:szCs w:val="24"/>
        </w:rPr>
        <w:t xml:space="preserve">ppoint the Directors of the company and agree </w:t>
      </w:r>
      <w:r>
        <w:rPr>
          <w:rFonts w:ascii="Arial" w:hAnsi="Arial" w:cs="Arial"/>
          <w:sz w:val="24"/>
          <w:szCs w:val="24"/>
        </w:rPr>
        <w:t>the Articles</w:t>
      </w:r>
      <w:r w:rsidR="00974C8E">
        <w:rPr>
          <w:rFonts w:ascii="Arial" w:hAnsi="Arial" w:cs="Arial"/>
          <w:sz w:val="24"/>
          <w:szCs w:val="24"/>
        </w:rPr>
        <w:t xml:space="preserve"> of Association to replace the model Arts. These were all successfully submitted and registered at Companies House. </w:t>
      </w:r>
      <w:r w:rsidR="00974C8E">
        <w:rPr>
          <w:rFonts w:ascii="Arial" w:hAnsi="Arial" w:cs="Arial"/>
          <w:sz w:val="24"/>
          <w:szCs w:val="24"/>
        </w:rPr>
        <w:br/>
      </w:r>
    </w:p>
    <w:p w14:paraId="08971D74" w14:textId="77777777" w:rsidR="00974C8E" w:rsidRDefault="00974C8E" w:rsidP="00974C8E">
      <w:pPr>
        <w:pStyle w:val="Heading5"/>
        <w:jc w:val="left"/>
        <w:rPr>
          <w:rFonts w:ascii="Arial" w:hAnsi="Arial" w:cs="Arial"/>
          <w:sz w:val="24"/>
          <w:szCs w:val="24"/>
        </w:rPr>
      </w:pPr>
      <w:r>
        <w:rPr>
          <w:rFonts w:ascii="Arial" w:hAnsi="Arial" w:cs="Arial"/>
          <w:sz w:val="24"/>
          <w:szCs w:val="24"/>
        </w:rPr>
        <w:t>In parallel activity took place to establish the operations of the company – Accountable Body agreement, banking, insurance, new financial systems and processes, establishment of the internal Finance and Audit Committee functions; delegations etc. These were progressed with the intention being to have all arrangements finalised by 30 April 2019.</w:t>
      </w:r>
      <w:r>
        <w:rPr>
          <w:rFonts w:ascii="Arial" w:hAnsi="Arial" w:cs="Arial"/>
          <w:sz w:val="24"/>
          <w:szCs w:val="24"/>
        </w:rPr>
        <w:br/>
      </w:r>
    </w:p>
    <w:p w14:paraId="5D47D1B8" w14:textId="5A2601B0" w:rsidR="003B5E90" w:rsidRDefault="00974C8E" w:rsidP="00974C8E">
      <w:pPr>
        <w:pStyle w:val="Heading5"/>
        <w:jc w:val="left"/>
        <w:rPr>
          <w:rFonts w:ascii="Arial" w:hAnsi="Arial" w:cs="Arial"/>
          <w:sz w:val="24"/>
          <w:szCs w:val="24"/>
        </w:rPr>
      </w:pPr>
      <w:r>
        <w:rPr>
          <w:rFonts w:ascii="Arial" w:hAnsi="Arial" w:cs="Arial"/>
          <w:sz w:val="24"/>
          <w:szCs w:val="24"/>
        </w:rPr>
        <w:t xml:space="preserve">An important part of the development of the new company is moving to employment status and recruiting people to work for the company. In line with Board agreement six posts were advertised in March 2019, with interviews taking place in April/May. These new appointees will join the existing secondee members of CLEP to create a new team that is designed to meet the requirements of “Strengthened Local Enterprise Partnerships”.  </w:t>
      </w:r>
      <w:r>
        <w:rPr>
          <w:rFonts w:ascii="Arial" w:hAnsi="Arial" w:cs="Arial"/>
          <w:sz w:val="24"/>
          <w:szCs w:val="24"/>
        </w:rPr>
        <w:br/>
      </w:r>
      <w:r>
        <w:rPr>
          <w:rFonts w:ascii="Arial" w:hAnsi="Arial" w:cs="Arial"/>
          <w:sz w:val="24"/>
          <w:szCs w:val="24"/>
        </w:rPr>
        <w:br/>
      </w:r>
    </w:p>
    <w:p w14:paraId="26FFDA3E" w14:textId="7E3DB1AD" w:rsidR="0029068F" w:rsidRPr="0029068F" w:rsidRDefault="0029068F" w:rsidP="0029068F">
      <w:pPr>
        <w:pStyle w:val="Heading5"/>
        <w:numPr>
          <w:ilvl w:val="0"/>
          <w:numId w:val="0"/>
        </w:numPr>
        <w:ind w:left="680"/>
        <w:jc w:val="left"/>
        <w:rPr>
          <w:rFonts w:ascii="Arial" w:hAnsi="Arial" w:cs="Arial"/>
          <w:sz w:val="24"/>
          <w:szCs w:val="24"/>
        </w:rPr>
      </w:pPr>
      <w:r>
        <w:rPr>
          <w:rFonts w:ascii="Arial" w:hAnsi="Arial" w:cs="Arial"/>
          <w:noProof/>
          <w:sz w:val="24"/>
          <w:szCs w:val="24"/>
          <w:lang w:eastAsia="en-GB"/>
        </w:rPr>
        <w:drawing>
          <wp:inline distT="0" distB="0" distL="0" distR="0" wp14:anchorId="48F20E42" wp14:editId="58743C64">
            <wp:extent cx="5742940" cy="3590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2940" cy="3590925"/>
                    </a:xfrm>
                    <a:prstGeom prst="rect">
                      <a:avLst/>
                    </a:prstGeom>
                    <a:noFill/>
                  </pic:spPr>
                </pic:pic>
              </a:graphicData>
            </a:graphic>
          </wp:inline>
        </w:drawing>
      </w:r>
    </w:p>
    <w:p w14:paraId="7F1B9414" w14:textId="406444FB" w:rsidR="0029068F" w:rsidRPr="00B7702D" w:rsidRDefault="0029068F" w:rsidP="0029068F">
      <w:pPr>
        <w:pStyle w:val="Heading5"/>
        <w:numPr>
          <w:ilvl w:val="0"/>
          <w:numId w:val="0"/>
        </w:numPr>
        <w:ind w:left="680"/>
        <w:jc w:val="left"/>
        <w:rPr>
          <w:rFonts w:ascii="Arial" w:hAnsi="Arial" w:cs="Arial"/>
          <w:sz w:val="24"/>
          <w:szCs w:val="24"/>
        </w:rPr>
      </w:pPr>
      <w:r w:rsidRPr="0029068F">
        <w:rPr>
          <w:rFonts w:ascii="Arial" w:hAnsi="Arial" w:cs="Arial"/>
          <w:sz w:val="24"/>
          <w:szCs w:val="24"/>
        </w:rPr>
        <w:t xml:space="preserve">KEY: Dark Blue – CCC </w:t>
      </w:r>
      <w:proofErr w:type="spellStart"/>
      <w:r w:rsidRPr="0029068F">
        <w:rPr>
          <w:rFonts w:ascii="Arial" w:hAnsi="Arial" w:cs="Arial"/>
          <w:sz w:val="24"/>
          <w:szCs w:val="24"/>
        </w:rPr>
        <w:t>Secondees</w:t>
      </w:r>
      <w:proofErr w:type="spellEnd"/>
      <w:r w:rsidRPr="0029068F">
        <w:rPr>
          <w:rFonts w:ascii="Arial" w:hAnsi="Arial" w:cs="Arial"/>
          <w:sz w:val="24"/>
          <w:szCs w:val="24"/>
        </w:rPr>
        <w:t xml:space="preserve">; Purple – Sellafield </w:t>
      </w:r>
      <w:proofErr w:type="spellStart"/>
      <w:r w:rsidRPr="0029068F">
        <w:rPr>
          <w:rFonts w:ascii="Arial" w:hAnsi="Arial" w:cs="Arial"/>
          <w:sz w:val="24"/>
          <w:szCs w:val="24"/>
        </w:rPr>
        <w:t>Secondees</w:t>
      </w:r>
      <w:proofErr w:type="spellEnd"/>
      <w:r w:rsidRPr="0029068F">
        <w:rPr>
          <w:rFonts w:ascii="Arial" w:hAnsi="Arial" w:cs="Arial"/>
          <w:sz w:val="24"/>
          <w:szCs w:val="24"/>
        </w:rPr>
        <w:t>; Turquoise CLEP direct employees; Green – Other secondees</w:t>
      </w:r>
    </w:p>
    <w:p w14:paraId="268A1076" w14:textId="3E699D66" w:rsidR="00A23825" w:rsidRPr="008773A0" w:rsidRDefault="008544E2" w:rsidP="008773A0">
      <w:pPr>
        <w:pStyle w:val="Heading1"/>
      </w:pPr>
      <w:r>
        <w:t>Deliver</w:t>
      </w:r>
      <w:r w:rsidR="008773A0">
        <w:t xml:space="preserve">y - </w:t>
      </w:r>
      <w:r w:rsidR="00A23825" w:rsidRPr="00436254">
        <w:t xml:space="preserve">Key </w:t>
      </w:r>
      <w:r w:rsidR="008773A0">
        <w:t>I</w:t>
      </w:r>
      <w:r w:rsidR="00A23825" w:rsidRPr="00436254">
        <w:t>ndicators</w:t>
      </w:r>
      <w:r w:rsidR="00C96AE0" w:rsidRPr="00436254">
        <w:t xml:space="preserve"> for the 2019/20 </w:t>
      </w:r>
      <w:r w:rsidR="00436254">
        <w:br/>
      </w:r>
      <w:r w:rsidR="00C96AE0" w:rsidRPr="00436254">
        <w:t>Delivery Plan</w:t>
      </w:r>
    </w:p>
    <w:p w14:paraId="30F41084" w14:textId="0C098292" w:rsidR="00A23825" w:rsidRPr="005F53CF" w:rsidRDefault="002E3195" w:rsidP="00D47CCA">
      <w:pPr>
        <w:pStyle w:val="Heading5"/>
        <w:rPr>
          <w:rFonts w:ascii="Arial" w:hAnsi="Arial" w:cs="Arial"/>
          <w:sz w:val="24"/>
          <w:szCs w:val="24"/>
        </w:rPr>
      </w:pPr>
      <w:r w:rsidRPr="005F53CF">
        <w:rPr>
          <w:rFonts w:ascii="Arial" w:hAnsi="Arial" w:cs="Arial"/>
          <w:sz w:val="24"/>
          <w:szCs w:val="24"/>
        </w:rPr>
        <w:t>The current forecasts are that the activity of the LEP will deliver the following outputs in 2019/20:</w:t>
      </w:r>
    </w:p>
    <w:p w14:paraId="63E2C67F" w14:textId="43D007F6" w:rsidR="002E3195" w:rsidRPr="005F53CF" w:rsidRDefault="002E3195" w:rsidP="002E3195">
      <w:pPr>
        <w:pStyle w:val="Heading7"/>
        <w:rPr>
          <w:rFonts w:ascii="Arial" w:hAnsi="Arial" w:cs="Arial"/>
          <w:sz w:val="24"/>
          <w:szCs w:val="24"/>
        </w:rPr>
      </w:pPr>
      <w:r w:rsidRPr="005F53CF">
        <w:rPr>
          <w:rFonts w:ascii="Arial" w:hAnsi="Arial" w:cs="Arial"/>
          <w:sz w:val="24"/>
          <w:szCs w:val="24"/>
        </w:rPr>
        <w:t>Supporting the creation of around 6</w:t>
      </w:r>
      <w:r w:rsidR="00974C8E">
        <w:rPr>
          <w:rFonts w:ascii="Arial" w:hAnsi="Arial" w:cs="Arial"/>
          <w:sz w:val="24"/>
          <w:szCs w:val="24"/>
        </w:rPr>
        <w:t>5</w:t>
      </w:r>
      <w:r w:rsidRPr="005F53CF">
        <w:rPr>
          <w:rFonts w:ascii="Arial" w:hAnsi="Arial" w:cs="Arial"/>
          <w:sz w:val="24"/>
          <w:szCs w:val="24"/>
        </w:rPr>
        <w:t xml:space="preserve">0 new jobs </w:t>
      </w:r>
    </w:p>
    <w:p w14:paraId="3BF7A5E3" w14:textId="437BD544" w:rsidR="002E3195" w:rsidRPr="005F53CF" w:rsidRDefault="002E3195" w:rsidP="002E3195">
      <w:pPr>
        <w:pStyle w:val="Heading7"/>
        <w:rPr>
          <w:rFonts w:ascii="Arial" w:hAnsi="Arial" w:cs="Arial"/>
          <w:sz w:val="24"/>
          <w:szCs w:val="24"/>
        </w:rPr>
      </w:pPr>
      <w:r w:rsidRPr="005F53CF">
        <w:rPr>
          <w:rFonts w:ascii="Arial" w:hAnsi="Arial" w:cs="Arial"/>
          <w:sz w:val="24"/>
          <w:szCs w:val="24"/>
        </w:rPr>
        <w:t xml:space="preserve">Levering </w:t>
      </w:r>
      <w:r w:rsidR="00AC4A82">
        <w:rPr>
          <w:rFonts w:ascii="Arial" w:hAnsi="Arial" w:cs="Arial"/>
          <w:sz w:val="24"/>
          <w:szCs w:val="24"/>
        </w:rPr>
        <w:t xml:space="preserve">in </w:t>
      </w:r>
      <w:r w:rsidRPr="005F53CF">
        <w:rPr>
          <w:rFonts w:ascii="Arial" w:hAnsi="Arial" w:cs="Arial"/>
          <w:sz w:val="24"/>
          <w:szCs w:val="24"/>
        </w:rPr>
        <w:t>around £</w:t>
      </w:r>
      <w:r w:rsidR="00AC4A82">
        <w:rPr>
          <w:rFonts w:ascii="Arial" w:hAnsi="Arial" w:cs="Arial"/>
          <w:sz w:val="24"/>
          <w:szCs w:val="24"/>
        </w:rPr>
        <w:t>3</w:t>
      </w:r>
      <w:r w:rsidRPr="005F53CF">
        <w:rPr>
          <w:rFonts w:ascii="Arial" w:hAnsi="Arial" w:cs="Arial"/>
          <w:sz w:val="24"/>
          <w:szCs w:val="24"/>
        </w:rPr>
        <w:t>5 million of investment</w:t>
      </w:r>
    </w:p>
    <w:p w14:paraId="10D959C4" w14:textId="5CFEB473" w:rsidR="002E3195" w:rsidRPr="005F53CF" w:rsidRDefault="002E3195" w:rsidP="002E3195">
      <w:pPr>
        <w:pStyle w:val="Heading7"/>
        <w:rPr>
          <w:rFonts w:ascii="Arial" w:hAnsi="Arial" w:cs="Arial"/>
          <w:sz w:val="24"/>
          <w:szCs w:val="24"/>
        </w:rPr>
      </w:pPr>
      <w:r w:rsidRPr="005F53CF">
        <w:rPr>
          <w:rFonts w:ascii="Arial" w:hAnsi="Arial" w:cs="Arial"/>
          <w:sz w:val="24"/>
          <w:szCs w:val="24"/>
        </w:rPr>
        <w:t>Creating</w:t>
      </w:r>
      <w:r w:rsidR="00564C32">
        <w:rPr>
          <w:rFonts w:ascii="Arial" w:hAnsi="Arial" w:cs="Arial"/>
          <w:sz w:val="24"/>
          <w:szCs w:val="24"/>
        </w:rPr>
        <w:t xml:space="preserve"> and refurbishing</w:t>
      </w:r>
      <w:r w:rsidRPr="005F53CF">
        <w:rPr>
          <w:rFonts w:ascii="Arial" w:hAnsi="Arial" w:cs="Arial"/>
          <w:sz w:val="24"/>
          <w:szCs w:val="24"/>
        </w:rPr>
        <w:t xml:space="preserve"> </w:t>
      </w:r>
      <w:r w:rsidR="00AC4A82">
        <w:rPr>
          <w:rFonts w:ascii="Arial" w:hAnsi="Arial" w:cs="Arial"/>
          <w:sz w:val="24"/>
          <w:szCs w:val="24"/>
        </w:rPr>
        <w:t>15,935</w:t>
      </w:r>
      <w:r w:rsidRPr="005F53CF">
        <w:rPr>
          <w:rFonts w:ascii="Arial" w:hAnsi="Arial" w:cs="Arial"/>
          <w:sz w:val="24"/>
          <w:szCs w:val="24"/>
        </w:rPr>
        <w:t xml:space="preserve"> </w:t>
      </w:r>
      <w:proofErr w:type="spellStart"/>
      <w:r w:rsidRPr="005F53CF">
        <w:rPr>
          <w:rFonts w:ascii="Arial" w:hAnsi="Arial" w:cs="Arial"/>
          <w:sz w:val="24"/>
          <w:szCs w:val="24"/>
        </w:rPr>
        <w:t>sqm</w:t>
      </w:r>
      <w:proofErr w:type="spellEnd"/>
      <w:r w:rsidRPr="005F53CF">
        <w:rPr>
          <w:rFonts w:ascii="Arial" w:hAnsi="Arial" w:cs="Arial"/>
          <w:sz w:val="24"/>
          <w:szCs w:val="24"/>
        </w:rPr>
        <w:t xml:space="preserve"> of pr</w:t>
      </w:r>
      <w:r w:rsidR="00564C32">
        <w:rPr>
          <w:rFonts w:ascii="Arial" w:hAnsi="Arial" w:cs="Arial"/>
          <w:sz w:val="24"/>
          <w:szCs w:val="24"/>
        </w:rPr>
        <w:t>e</w:t>
      </w:r>
      <w:r w:rsidRPr="005F53CF">
        <w:rPr>
          <w:rFonts w:ascii="Arial" w:hAnsi="Arial" w:cs="Arial"/>
          <w:sz w:val="24"/>
          <w:szCs w:val="24"/>
        </w:rPr>
        <w:t>mises</w:t>
      </w:r>
    </w:p>
    <w:p w14:paraId="2869CDE1" w14:textId="325D8DEC" w:rsidR="00AC4A82" w:rsidRDefault="002E3195" w:rsidP="002E3195">
      <w:pPr>
        <w:pStyle w:val="Heading7"/>
        <w:rPr>
          <w:rFonts w:ascii="Arial" w:hAnsi="Arial" w:cs="Arial"/>
          <w:sz w:val="24"/>
          <w:szCs w:val="24"/>
        </w:rPr>
      </w:pPr>
      <w:r w:rsidRPr="005F53CF">
        <w:rPr>
          <w:rFonts w:ascii="Arial" w:hAnsi="Arial" w:cs="Arial"/>
          <w:sz w:val="24"/>
          <w:szCs w:val="24"/>
        </w:rPr>
        <w:t>Helping the delivery of 145 new homes</w:t>
      </w:r>
    </w:p>
    <w:p w14:paraId="5307DD39" w14:textId="7E0C028E" w:rsidR="002E3195" w:rsidRPr="005F53CF" w:rsidRDefault="002E3195" w:rsidP="00AC4A82">
      <w:pPr>
        <w:pStyle w:val="Heading7"/>
        <w:numPr>
          <w:ilvl w:val="0"/>
          <w:numId w:val="0"/>
        </w:numPr>
        <w:ind w:left="1361"/>
        <w:rPr>
          <w:rFonts w:ascii="Arial" w:hAnsi="Arial" w:cs="Arial"/>
          <w:sz w:val="24"/>
          <w:szCs w:val="24"/>
        </w:rPr>
      </w:pPr>
    </w:p>
    <w:p w14:paraId="68935580" w14:textId="696EFA91" w:rsidR="00A05528" w:rsidRPr="00436254" w:rsidRDefault="00885B83" w:rsidP="00EA2705">
      <w:pPr>
        <w:pStyle w:val="Heading1"/>
        <w:rPr>
          <w:rFonts w:cs="Arial"/>
        </w:rPr>
      </w:pPr>
      <w:r w:rsidRPr="00436254">
        <w:rPr>
          <w:rFonts w:cs="Arial"/>
        </w:rPr>
        <w:t>Local Growth Fund</w:t>
      </w:r>
      <w:r w:rsidR="00523C6B" w:rsidRPr="00436254">
        <w:rPr>
          <w:rFonts w:cs="Arial"/>
        </w:rPr>
        <w:t xml:space="preserve"> Activity</w:t>
      </w:r>
    </w:p>
    <w:p w14:paraId="4BF65FF3" w14:textId="4A1A7106" w:rsidR="00885B83" w:rsidRPr="005F53CF" w:rsidRDefault="00DE0994" w:rsidP="00D47CCA">
      <w:pPr>
        <w:pStyle w:val="Heading5"/>
        <w:rPr>
          <w:rFonts w:ascii="Arial" w:hAnsi="Arial" w:cs="Arial"/>
          <w:sz w:val="24"/>
          <w:szCs w:val="24"/>
        </w:rPr>
      </w:pPr>
      <w:r w:rsidRPr="005F53CF">
        <w:rPr>
          <w:rFonts w:ascii="Arial" w:hAnsi="Arial" w:cs="Arial"/>
          <w:sz w:val="24"/>
          <w:szCs w:val="24"/>
        </w:rPr>
        <w:t>CLEP has or plans to support 2</w:t>
      </w:r>
      <w:r w:rsidR="0069152C">
        <w:rPr>
          <w:rFonts w:ascii="Arial" w:hAnsi="Arial" w:cs="Arial"/>
          <w:sz w:val="24"/>
          <w:szCs w:val="24"/>
        </w:rPr>
        <w:t>4</w:t>
      </w:r>
      <w:r w:rsidRPr="005F53CF">
        <w:rPr>
          <w:rFonts w:ascii="Arial" w:hAnsi="Arial" w:cs="Arial"/>
          <w:sz w:val="24"/>
          <w:szCs w:val="24"/>
        </w:rPr>
        <w:t xml:space="preserve"> projects via the </w:t>
      </w:r>
      <w:r w:rsidR="009609A2" w:rsidRPr="005F53CF">
        <w:rPr>
          <w:rFonts w:ascii="Arial" w:hAnsi="Arial" w:cs="Arial"/>
          <w:sz w:val="24"/>
          <w:szCs w:val="24"/>
        </w:rPr>
        <w:t>Local Growth Fund (</w:t>
      </w:r>
      <w:r w:rsidRPr="005F53CF">
        <w:rPr>
          <w:rFonts w:ascii="Arial" w:hAnsi="Arial" w:cs="Arial"/>
          <w:sz w:val="24"/>
          <w:szCs w:val="24"/>
        </w:rPr>
        <w:t>LGF</w:t>
      </w:r>
      <w:r w:rsidR="009609A2" w:rsidRPr="005F53CF">
        <w:rPr>
          <w:rFonts w:ascii="Arial" w:hAnsi="Arial" w:cs="Arial"/>
          <w:sz w:val="24"/>
          <w:szCs w:val="24"/>
        </w:rPr>
        <w:t>)</w:t>
      </w:r>
      <w:r w:rsidRPr="005F53CF">
        <w:rPr>
          <w:rFonts w:ascii="Arial" w:hAnsi="Arial" w:cs="Arial"/>
          <w:sz w:val="24"/>
          <w:szCs w:val="24"/>
        </w:rPr>
        <w:t xml:space="preserve">. </w:t>
      </w:r>
      <w:r w:rsidR="00B20FC5" w:rsidRPr="005F53CF">
        <w:rPr>
          <w:rFonts w:ascii="Arial" w:hAnsi="Arial" w:cs="Arial"/>
          <w:sz w:val="24"/>
          <w:szCs w:val="24"/>
        </w:rPr>
        <w:t>Of these projects:</w:t>
      </w:r>
    </w:p>
    <w:p w14:paraId="3749B00B" w14:textId="573142B4" w:rsidR="00B20FC5" w:rsidRPr="005F53CF" w:rsidRDefault="00B20FC5" w:rsidP="00B20FC5">
      <w:pPr>
        <w:pStyle w:val="Heading7"/>
        <w:rPr>
          <w:rFonts w:ascii="Arial" w:hAnsi="Arial" w:cs="Arial"/>
          <w:sz w:val="24"/>
          <w:szCs w:val="24"/>
        </w:rPr>
      </w:pPr>
      <w:r w:rsidRPr="005F53CF">
        <w:rPr>
          <w:rFonts w:ascii="Arial" w:hAnsi="Arial" w:cs="Arial"/>
          <w:sz w:val="24"/>
          <w:szCs w:val="24"/>
        </w:rPr>
        <w:t xml:space="preserve">2 are closed and </w:t>
      </w:r>
      <w:r w:rsidR="00895934" w:rsidRPr="005F53CF">
        <w:rPr>
          <w:rFonts w:ascii="Arial" w:hAnsi="Arial" w:cs="Arial"/>
          <w:sz w:val="24"/>
          <w:szCs w:val="24"/>
        </w:rPr>
        <w:t xml:space="preserve">3 </w:t>
      </w:r>
      <w:r w:rsidRPr="005F53CF">
        <w:rPr>
          <w:rFonts w:ascii="Arial" w:hAnsi="Arial" w:cs="Arial"/>
          <w:sz w:val="24"/>
          <w:szCs w:val="24"/>
        </w:rPr>
        <w:t>are financially completed but outputs are still being monitored</w:t>
      </w:r>
    </w:p>
    <w:p w14:paraId="08498C0F" w14:textId="06FC6CB2" w:rsidR="00B20FC5" w:rsidRPr="005F53CF" w:rsidRDefault="00B20FC5" w:rsidP="00B20FC5">
      <w:pPr>
        <w:pStyle w:val="Heading7"/>
        <w:rPr>
          <w:rFonts w:ascii="Arial" w:hAnsi="Arial" w:cs="Arial"/>
          <w:sz w:val="24"/>
          <w:szCs w:val="24"/>
        </w:rPr>
      </w:pPr>
      <w:r w:rsidRPr="005F53CF">
        <w:rPr>
          <w:rFonts w:ascii="Arial" w:hAnsi="Arial" w:cs="Arial"/>
          <w:sz w:val="24"/>
          <w:szCs w:val="24"/>
        </w:rPr>
        <w:t xml:space="preserve">5 are in development and </w:t>
      </w:r>
      <w:r w:rsidR="00D254E3">
        <w:rPr>
          <w:rFonts w:ascii="Arial" w:hAnsi="Arial" w:cs="Arial"/>
          <w:sz w:val="24"/>
          <w:szCs w:val="24"/>
        </w:rPr>
        <w:t>1</w:t>
      </w:r>
      <w:r w:rsidR="00A8242C">
        <w:rPr>
          <w:rFonts w:ascii="Arial" w:hAnsi="Arial" w:cs="Arial"/>
          <w:sz w:val="24"/>
          <w:szCs w:val="24"/>
        </w:rPr>
        <w:t xml:space="preserve"> </w:t>
      </w:r>
      <w:r w:rsidR="00D254E3">
        <w:rPr>
          <w:rFonts w:ascii="Arial" w:hAnsi="Arial" w:cs="Arial"/>
          <w:sz w:val="24"/>
          <w:szCs w:val="24"/>
        </w:rPr>
        <w:t>is</w:t>
      </w:r>
      <w:r w:rsidRPr="005F53CF">
        <w:rPr>
          <w:rFonts w:ascii="Arial" w:hAnsi="Arial" w:cs="Arial"/>
          <w:sz w:val="24"/>
          <w:szCs w:val="24"/>
        </w:rPr>
        <w:t xml:space="preserve"> in contracting</w:t>
      </w:r>
    </w:p>
    <w:p w14:paraId="5685C199" w14:textId="319727C4" w:rsidR="00B20FC5" w:rsidRPr="005F53CF" w:rsidRDefault="00B20FC5" w:rsidP="00B20FC5">
      <w:pPr>
        <w:pStyle w:val="Heading7"/>
        <w:rPr>
          <w:rFonts w:ascii="Arial" w:hAnsi="Arial" w:cs="Arial"/>
          <w:sz w:val="24"/>
          <w:szCs w:val="24"/>
        </w:rPr>
      </w:pPr>
      <w:r w:rsidRPr="005F53CF">
        <w:rPr>
          <w:rFonts w:ascii="Arial" w:hAnsi="Arial" w:cs="Arial"/>
          <w:sz w:val="24"/>
          <w:szCs w:val="24"/>
        </w:rPr>
        <w:t>1</w:t>
      </w:r>
      <w:r w:rsidR="00D254E3">
        <w:rPr>
          <w:rFonts w:ascii="Arial" w:hAnsi="Arial" w:cs="Arial"/>
          <w:sz w:val="24"/>
          <w:szCs w:val="24"/>
        </w:rPr>
        <w:t>3</w:t>
      </w:r>
      <w:r w:rsidRPr="005F53CF">
        <w:rPr>
          <w:rFonts w:ascii="Arial" w:hAnsi="Arial" w:cs="Arial"/>
          <w:sz w:val="24"/>
          <w:szCs w:val="24"/>
        </w:rPr>
        <w:t xml:space="preserve"> project</w:t>
      </w:r>
      <w:r w:rsidR="00AC4A82">
        <w:rPr>
          <w:rFonts w:ascii="Arial" w:hAnsi="Arial" w:cs="Arial"/>
          <w:sz w:val="24"/>
          <w:szCs w:val="24"/>
        </w:rPr>
        <w:t>s</w:t>
      </w:r>
      <w:r w:rsidRPr="005F53CF">
        <w:rPr>
          <w:rFonts w:ascii="Arial" w:hAnsi="Arial" w:cs="Arial"/>
          <w:sz w:val="24"/>
          <w:szCs w:val="24"/>
        </w:rPr>
        <w:t xml:space="preserve"> are live</w:t>
      </w:r>
      <w:r w:rsidR="006377C7" w:rsidRPr="005F53CF">
        <w:rPr>
          <w:rFonts w:ascii="Arial" w:hAnsi="Arial" w:cs="Arial"/>
          <w:sz w:val="24"/>
          <w:szCs w:val="24"/>
        </w:rPr>
        <w:t xml:space="preserve"> (although of these only </w:t>
      </w:r>
      <w:r w:rsidR="00895934" w:rsidRPr="005F53CF">
        <w:rPr>
          <w:rFonts w:ascii="Arial" w:hAnsi="Arial" w:cs="Arial"/>
          <w:sz w:val="24"/>
          <w:szCs w:val="24"/>
        </w:rPr>
        <w:t>7</w:t>
      </w:r>
      <w:r w:rsidR="006377C7" w:rsidRPr="005F53CF">
        <w:rPr>
          <w:rFonts w:ascii="Arial" w:hAnsi="Arial" w:cs="Arial"/>
          <w:sz w:val="24"/>
          <w:szCs w:val="24"/>
        </w:rPr>
        <w:t xml:space="preserve"> </w:t>
      </w:r>
      <w:r w:rsidR="0039633A" w:rsidRPr="005F53CF">
        <w:rPr>
          <w:rFonts w:ascii="Arial" w:hAnsi="Arial" w:cs="Arial"/>
          <w:sz w:val="24"/>
          <w:szCs w:val="24"/>
        </w:rPr>
        <w:t>are forecast to</w:t>
      </w:r>
      <w:r w:rsidR="006377C7" w:rsidRPr="005F53CF">
        <w:rPr>
          <w:rFonts w:ascii="Arial" w:hAnsi="Arial" w:cs="Arial"/>
          <w:sz w:val="24"/>
          <w:szCs w:val="24"/>
        </w:rPr>
        <w:t xml:space="preserve"> be spending in 2019/20</w:t>
      </w:r>
      <w:r w:rsidR="0039633A" w:rsidRPr="005F53CF">
        <w:rPr>
          <w:rFonts w:ascii="Arial" w:hAnsi="Arial" w:cs="Arial"/>
          <w:sz w:val="24"/>
          <w:szCs w:val="24"/>
        </w:rPr>
        <w:t>)</w:t>
      </w:r>
      <w:r w:rsidR="00843E65" w:rsidRPr="005F53CF">
        <w:rPr>
          <w:rFonts w:ascii="Arial" w:hAnsi="Arial" w:cs="Arial"/>
          <w:sz w:val="24"/>
          <w:szCs w:val="24"/>
        </w:rPr>
        <w:t>.</w:t>
      </w:r>
    </w:p>
    <w:p w14:paraId="4153CC5A" w14:textId="05F6E2F0" w:rsidR="002E3195" w:rsidRPr="005F53CF" w:rsidRDefault="002E3195" w:rsidP="00AC4A82">
      <w:pPr>
        <w:pStyle w:val="Heading5"/>
        <w:spacing w:after="0"/>
        <w:jc w:val="left"/>
        <w:rPr>
          <w:rFonts w:ascii="Arial" w:hAnsi="Arial" w:cs="Arial"/>
          <w:sz w:val="24"/>
          <w:szCs w:val="24"/>
        </w:rPr>
      </w:pPr>
      <w:r w:rsidRPr="005F53CF">
        <w:rPr>
          <w:rFonts w:ascii="Arial" w:hAnsi="Arial" w:cs="Arial"/>
          <w:sz w:val="24"/>
          <w:szCs w:val="24"/>
        </w:rPr>
        <w:t>The overall progress and forecasts of the main outputs recorded for all LGF supported projects is summarised below as is spend.</w:t>
      </w:r>
      <w:r w:rsidR="00BE4D2E">
        <w:rPr>
          <w:rFonts w:ascii="Arial" w:hAnsi="Arial" w:cs="Arial"/>
          <w:sz w:val="24"/>
          <w:szCs w:val="24"/>
        </w:rPr>
        <w:br/>
      </w:r>
      <w:r w:rsidR="00BE4D2E">
        <w:rPr>
          <w:rFonts w:ascii="Arial" w:hAnsi="Arial" w:cs="Arial"/>
          <w:sz w:val="24"/>
          <w:szCs w:val="24"/>
        </w:rPr>
        <w:br/>
      </w:r>
    </w:p>
    <w:tbl>
      <w:tblPr>
        <w:tblW w:w="10207" w:type="dxa"/>
        <w:tblInd w:w="-34" w:type="dxa"/>
        <w:tblBorders>
          <w:top w:val="single" w:sz="4" w:space="0" w:color="4D6A71"/>
          <w:left w:val="single" w:sz="4" w:space="0" w:color="4D6A71"/>
          <w:bottom w:val="single" w:sz="4" w:space="0" w:color="4D6A71"/>
          <w:right w:val="single" w:sz="4" w:space="0" w:color="4D6A71"/>
          <w:insideH w:val="single" w:sz="4" w:space="0" w:color="4D6A71"/>
          <w:insideV w:val="single" w:sz="4" w:space="0" w:color="4D6A71"/>
        </w:tblBorders>
        <w:tblLayout w:type="fixed"/>
        <w:tblLook w:val="04A0" w:firstRow="1" w:lastRow="0" w:firstColumn="1" w:lastColumn="0" w:noHBand="0" w:noVBand="1"/>
      </w:tblPr>
      <w:tblGrid>
        <w:gridCol w:w="2410"/>
        <w:gridCol w:w="1276"/>
        <w:gridCol w:w="1276"/>
        <w:gridCol w:w="1276"/>
        <w:gridCol w:w="992"/>
        <w:gridCol w:w="1417"/>
        <w:gridCol w:w="1560"/>
      </w:tblGrid>
      <w:tr w:rsidR="002E3195" w:rsidRPr="005F53CF" w14:paraId="38456A4C" w14:textId="77777777" w:rsidTr="00AC4A82">
        <w:trPr>
          <w:trHeight w:val="287"/>
        </w:trPr>
        <w:tc>
          <w:tcPr>
            <w:tcW w:w="10207" w:type="dxa"/>
            <w:gridSpan w:val="7"/>
            <w:shd w:val="clear" w:color="auto" w:fill="4D6A71"/>
            <w:noWrap/>
            <w:hideMark/>
          </w:tcPr>
          <w:p w14:paraId="46D36E90" w14:textId="06379191" w:rsidR="002E3195" w:rsidRPr="005F53CF" w:rsidRDefault="002E3195" w:rsidP="00A60A85">
            <w:pPr>
              <w:spacing w:after="0"/>
              <w:jc w:val="left"/>
              <w:rPr>
                <w:rFonts w:ascii="Arial" w:hAnsi="Arial" w:cs="Arial"/>
                <w:b/>
                <w:bCs/>
                <w:color w:val="FFFFFF" w:themeColor="background1"/>
                <w:sz w:val="24"/>
                <w:szCs w:val="24"/>
                <w:lang w:eastAsia="en-GB"/>
              </w:rPr>
            </w:pPr>
            <w:r w:rsidRPr="005F53CF">
              <w:rPr>
                <w:rFonts w:ascii="Arial" w:hAnsi="Arial" w:cs="Arial"/>
                <w:b/>
                <w:bCs/>
                <w:color w:val="FFFFFF" w:themeColor="background1"/>
                <w:sz w:val="24"/>
                <w:szCs w:val="24"/>
                <w:lang w:eastAsia="en-GB"/>
              </w:rPr>
              <w:t>Table 3.1:  LGF Outputs in Cumbria (as of Q</w:t>
            </w:r>
            <w:r w:rsidR="008F0F48" w:rsidRPr="005F53CF">
              <w:rPr>
                <w:rFonts w:ascii="Arial" w:hAnsi="Arial" w:cs="Arial"/>
                <w:b/>
                <w:bCs/>
                <w:color w:val="FFFFFF" w:themeColor="background1"/>
                <w:sz w:val="24"/>
                <w:szCs w:val="24"/>
                <w:lang w:eastAsia="en-GB"/>
              </w:rPr>
              <w:t>4</w:t>
            </w:r>
            <w:r w:rsidR="00D50F64">
              <w:rPr>
                <w:rFonts w:ascii="Arial" w:hAnsi="Arial" w:cs="Arial"/>
                <w:b/>
                <w:bCs/>
                <w:color w:val="FFFFFF" w:themeColor="background1"/>
                <w:sz w:val="24"/>
                <w:szCs w:val="24"/>
                <w:lang w:eastAsia="en-GB"/>
              </w:rPr>
              <w:t xml:space="preserve"> </w:t>
            </w:r>
            <w:r w:rsidRPr="005F53CF">
              <w:rPr>
                <w:rFonts w:ascii="Arial" w:hAnsi="Arial" w:cs="Arial"/>
                <w:b/>
                <w:bCs/>
                <w:color w:val="FFFFFF" w:themeColor="background1"/>
                <w:sz w:val="24"/>
                <w:szCs w:val="24"/>
                <w:lang w:eastAsia="en-GB"/>
              </w:rPr>
              <w:t>2018/19)</w:t>
            </w:r>
          </w:p>
        </w:tc>
      </w:tr>
      <w:tr w:rsidR="002E3195" w:rsidRPr="005F53CF" w14:paraId="35C4E656" w14:textId="77777777" w:rsidTr="00AC4A82">
        <w:trPr>
          <w:trHeight w:val="131"/>
        </w:trPr>
        <w:tc>
          <w:tcPr>
            <w:tcW w:w="2410" w:type="dxa"/>
            <w:shd w:val="clear" w:color="auto" w:fill="auto"/>
            <w:noWrap/>
          </w:tcPr>
          <w:p w14:paraId="5A0BB33C" w14:textId="77777777" w:rsidR="002E3195" w:rsidRPr="00BE4D2E" w:rsidRDefault="002E3195" w:rsidP="00A60A85">
            <w:pPr>
              <w:spacing w:after="0"/>
              <w:jc w:val="left"/>
              <w:rPr>
                <w:rFonts w:ascii="Arial" w:hAnsi="Arial" w:cs="Arial"/>
                <w:b/>
                <w:sz w:val="24"/>
                <w:szCs w:val="24"/>
                <w:lang w:eastAsia="en-GB"/>
              </w:rPr>
            </w:pPr>
            <w:r w:rsidRPr="00BE4D2E">
              <w:rPr>
                <w:rFonts w:ascii="Arial" w:hAnsi="Arial" w:cs="Arial"/>
                <w:b/>
                <w:sz w:val="24"/>
                <w:szCs w:val="24"/>
                <w:lang w:eastAsia="en-GB"/>
              </w:rPr>
              <w:t>Output measured</w:t>
            </w:r>
          </w:p>
        </w:tc>
        <w:tc>
          <w:tcPr>
            <w:tcW w:w="1276" w:type="dxa"/>
            <w:shd w:val="clear" w:color="auto" w:fill="auto"/>
          </w:tcPr>
          <w:p w14:paraId="0DE7E588" w14:textId="77777777" w:rsidR="002E3195" w:rsidRPr="00BE4D2E" w:rsidRDefault="002E3195" w:rsidP="00A60A85">
            <w:pPr>
              <w:spacing w:after="0"/>
              <w:jc w:val="left"/>
              <w:rPr>
                <w:rFonts w:ascii="Arial" w:hAnsi="Arial" w:cs="Arial"/>
                <w:b/>
                <w:sz w:val="24"/>
                <w:szCs w:val="24"/>
                <w:lang w:eastAsia="en-GB"/>
              </w:rPr>
            </w:pPr>
            <w:r w:rsidRPr="00BE4D2E">
              <w:rPr>
                <w:rFonts w:ascii="Arial" w:hAnsi="Arial" w:cs="Arial"/>
                <w:b/>
                <w:sz w:val="24"/>
                <w:szCs w:val="24"/>
                <w:lang w:eastAsia="en-GB"/>
              </w:rPr>
              <w:t>Actual achieved to date*</w:t>
            </w:r>
          </w:p>
        </w:tc>
        <w:tc>
          <w:tcPr>
            <w:tcW w:w="1276" w:type="dxa"/>
            <w:shd w:val="clear" w:color="auto" w:fill="auto"/>
          </w:tcPr>
          <w:p w14:paraId="145D58FE" w14:textId="77777777" w:rsidR="002E3195" w:rsidRPr="00BE4D2E" w:rsidRDefault="002E3195" w:rsidP="00A60A85">
            <w:pPr>
              <w:spacing w:after="0"/>
              <w:rPr>
                <w:rFonts w:ascii="Arial" w:hAnsi="Arial" w:cs="Arial"/>
                <w:b/>
                <w:sz w:val="24"/>
                <w:szCs w:val="24"/>
                <w:lang w:eastAsia="en-GB"/>
              </w:rPr>
            </w:pPr>
            <w:r w:rsidRPr="00BE4D2E">
              <w:rPr>
                <w:rFonts w:ascii="Arial" w:hAnsi="Arial" w:cs="Arial"/>
                <w:b/>
                <w:sz w:val="24"/>
                <w:szCs w:val="24"/>
                <w:lang w:eastAsia="en-GB"/>
              </w:rPr>
              <w:t xml:space="preserve">Forecast for </w:t>
            </w:r>
          </w:p>
          <w:p w14:paraId="5C2BBFCB" w14:textId="77777777" w:rsidR="002E3195" w:rsidRPr="00BE4D2E" w:rsidRDefault="002E3195" w:rsidP="00A60A85">
            <w:pPr>
              <w:spacing w:after="0"/>
              <w:rPr>
                <w:rFonts w:ascii="Arial" w:hAnsi="Arial" w:cs="Arial"/>
                <w:b/>
                <w:sz w:val="24"/>
                <w:szCs w:val="24"/>
                <w:lang w:eastAsia="en-GB"/>
              </w:rPr>
            </w:pPr>
            <w:r w:rsidRPr="00BE4D2E">
              <w:rPr>
                <w:rFonts w:ascii="Arial" w:hAnsi="Arial" w:cs="Arial"/>
                <w:b/>
                <w:sz w:val="24"/>
                <w:szCs w:val="24"/>
                <w:lang w:eastAsia="en-GB"/>
              </w:rPr>
              <w:t>2019-20</w:t>
            </w:r>
          </w:p>
        </w:tc>
        <w:tc>
          <w:tcPr>
            <w:tcW w:w="1276" w:type="dxa"/>
            <w:shd w:val="clear" w:color="auto" w:fill="auto"/>
          </w:tcPr>
          <w:p w14:paraId="1569BF71" w14:textId="77777777" w:rsidR="002E3195" w:rsidRPr="00BE4D2E" w:rsidRDefault="002E3195" w:rsidP="00A60A85">
            <w:pPr>
              <w:spacing w:after="0"/>
              <w:rPr>
                <w:rFonts w:ascii="Arial" w:hAnsi="Arial" w:cs="Arial"/>
                <w:b/>
                <w:sz w:val="24"/>
                <w:szCs w:val="24"/>
                <w:lang w:eastAsia="en-GB"/>
              </w:rPr>
            </w:pPr>
            <w:r w:rsidRPr="00BE4D2E">
              <w:rPr>
                <w:rFonts w:ascii="Arial" w:hAnsi="Arial" w:cs="Arial"/>
                <w:b/>
                <w:sz w:val="24"/>
                <w:szCs w:val="24"/>
                <w:lang w:eastAsia="en-GB"/>
              </w:rPr>
              <w:t xml:space="preserve">Current Forecast for </w:t>
            </w:r>
          </w:p>
          <w:p w14:paraId="14E20CB9" w14:textId="77777777" w:rsidR="002E3195" w:rsidRPr="00BE4D2E" w:rsidRDefault="002E3195" w:rsidP="00A60A85">
            <w:pPr>
              <w:spacing w:after="0"/>
              <w:rPr>
                <w:rFonts w:ascii="Arial" w:hAnsi="Arial" w:cs="Arial"/>
                <w:b/>
                <w:sz w:val="24"/>
                <w:szCs w:val="24"/>
                <w:lang w:eastAsia="en-GB"/>
              </w:rPr>
            </w:pPr>
            <w:r w:rsidRPr="00BE4D2E">
              <w:rPr>
                <w:rFonts w:ascii="Arial" w:hAnsi="Arial" w:cs="Arial"/>
                <w:b/>
                <w:sz w:val="24"/>
                <w:szCs w:val="24"/>
                <w:lang w:eastAsia="en-GB"/>
              </w:rPr>
              <w:t>2020-21</w:t>
            </w:r>
          </w:p>
        </w:tc>
        <w:tc>
          <w:tcPr>
            <w:tcW w:w="992" w:type="dxa"/>
            <w:shd w:val="clear" w:color="auto" w:fill="auto"/>
          </w:tcPr>
          <w:p w14:paraId="3F0ED14D" w14:textId="3B28198B" w:rsidR="002E3195" w:rsidRPr="00BE4D2E" w:rsidRDefault="00BE4D2E" w:rsidP="00A60A85">
            <w:pPr>
              <w:spacing w:after="0"/>
              <w:rPr>
                <w:rFonts w:ascii="Arial" w:hAnsi="Arial" w:cs="Arial"/>
                <w:b/>
                <w:sz w:val="24"/>
                <w:szCs w:val="24"/>
                <w:lang w:eastAsia="en-GB"/>
              </w:rPr>
            </w:pPr>
            <w:r w:rsidRPr="00BE4D2E">
              <w:rPr>
                <w:rFonts w:ascii="Arial" w:hAnsi="Arial" w:cs="Arial"/>
                <w:b/>
                <w:sz w:val="24"/>
                <w:szCs w:val="24"/>
                <w:lang w:eastAsia="en-GB"/>
              </w:rPr>
              <w:t>Target</w:t>
            </w:r>
            <w:r w:rsidR="00DF6DB2">
              <w:rPr>
                <w:rFonts w:ascii="Arial" w:hAnsi="Arial" w:cs="Arial"/>
                <w:b/>
                <w:sz w:val="24"/>
                <w:szCs w:val="24"/>
                <w:lang w:eastAsia="en-GB"/>
              </w:rPr>
              <w:t xml:space="preserve"> (BEIS offer letter)</w:t>
            </w:r>
          </w:p>
        </w:tc>
        <w:tc>
          <w:tcPr>
            <w:tcW w:w="1417" w:type="dxa"/>
            <w:shd w:val="clear" w:color="auto" w:fill="auto"/>
          </w:tcPr>
          <w:p w14:paraId="36804460" w14:textId="7F2E5C11" w:rsidR="002E3195" w:rsidRPr="00BE4D2E" w:rsidRDefault="002E3195" w:rsidP="00A60A85">
            <w:pPr>
              <w:spacing w:after="0"/>
              <w:rPr>
                <w:rFonts w:ascii="Arial" w:hAnsi="Arial" w:cs="Arial"/>
                <w:b/>
                <w:sz w:val="24"/>
                <w:szCs w:val="24"/>
                <w:lang w:eastAsia="en-GB"/>
              </w:rPr>
            </w:pPr>
            <w:r w:rsidRPr="00BE4D2E">
              <w:rPr>
                <w:rFonts w:ascii="Arial" w:hAnsi="Arial" w:cs="Arial"/>
                <w:b/>
                <w:sz w:val="24"/>
                <w:szCs w:val="24"/>
              </w:rPr>
              <w:t>Total lifetime forecast</w:t>
            </w:r>
            <w:r w:rsidR="00BA633D" w:rsidRPr="00BE4D2E">
              <w:rPr>
                <w:rFonts w:ascii="Arial" w:hAnsi="Arial" w:cs="Arial"/>
                <w:b/>
                <w:sz w:val="24"/>
                <w:szCs w:val="24"/>
              </w:rPr>
              <w:t>**</w:t>
            </w:r>
          </w:p>
        </w:tc>
        <w:tc>
          <w:tcPr>
            <w:tcW w:w="1560" w:type="dxa"/>
            <w:shd w:val="clear" w:color="auto" w:fill="auto"/>
          </w:tcPr>
          <w:p w14:paraId="71CBE2B3" w14:textId="77777777" w:rsidR="002E3195" w:rsidRPr="00BE4D2E" w:rsidRDefault="002E3195" w:rsidP="00A60A85">
            <w:pPr>
              <w:spacing w:after="0"/>
              <w:rPr>
                <w:rFonts w:ascii="Arial" w:hAnsi="Arial" w:cs="Arial"/>
                <w:b/>
                <w:sz w:val="24"/>
                <w:szCs w:val="24"/>
                <w:lang w:eastAsia="en-GB"/>
              </w:rPr>
            </w:pPr>
            <w:r w:rsidRPr="00BE4D2E">
              <w:rPr>
                <w:rFonts w:ascii="Arial" w:hAnsi="Arial" w:cs="Arial"/>
                <w:b/>
                <w:sz w:val="24"/>
                <w:szCs w:val="24"/>
              </w:rPr>
              <w:t>Total approved (lifetime)</w:t>
            </w:r>
          </w:p>
        </w:tc>
      </w:tr>
      <w:tr w:rsidR="002E3195" w:rsidRPr="005F53CF" w14:paraId="15E18D4C" w14:textId="77777777" w:rsidTr="00AC4A82">
        <w:trPr>
          <w:trHeight w:val="85"/>
        </w:trPr>
        <w:tc>
          <w:tcPr>
            <w:tcW w:w="2410" w:type="dxa"/>
            <w:shd w:val="clear" w:color="auto" w:fill="auto"/>
            <w:noWrap/>
          </w:tcPr>
          <w:p w14:paraId="5DC54E14" w14:textId="493DD6BA" w:rsidR="002E3195" w:rsidRPr="005F53CF" w:rsidRDefault="002E3195" w:rsidP="00A60A85">
            <w:pPr>
              <w:spacing w:after="0"/>
              <w:jc w:val="left"/>
              <w:rPr>
                <w:rFonts w:ascii="Arial" w:hAnsi="Arial" w:cs="Arial"/>
                <w:sz w:val="24"/>
                <w:szCs w:val="24"/>
                <w:lang w:eastAsia="en-GB"/>
              </w:rPr>
            </w:pPr>
            <w:r w:rsidRPr="005F53CF">
              <w:rPr>
                <w:rFonts w:ascii="Arial" w:hAnsi="Arial" w:cs="Arial"/>
                <w:sz w:val="24"/>
                <w:szCs w:val="24"/>
              </w:rPr>
              <w:t xml:space="preserve">Jobs </w:t>
            </w:r>
            <w:r w:rsidR="00BE4D2E">
              <w:rPr>
                <w:rFonts w:ascii="Arial" w:hAnsi="Arial" w:cs="Arial"/>
                <w:sz w:val="24"/>
                <w:szCs w:val="24"/>
              </w:rPr>
              <w:t>(</w:t>
            </w:r>
            <w:r w:rsidRPr="005F53CF">
              <w:rPr>
                <w:rFonts w:ascii="Arial" w:hAnsi="Arial" w:cs="Arial"/>
                <w:sz w:val="24"/>
                <w:szCs w:val="24"/>
              </w:rPr>
              <w:t>Created</w:t>
            </w:r>
            <w:r w:rsidR="00BE4D2E">
              <w:rPr>
                <w:rFonts w:ascii="Arial" w:hAnsi="Arial" w:cs="Arial"/>
                <w:sz w:val="24"/>
                <w:szCs w:val="24"/>
              </w:rPr>
              <w:t xml:space="preserve"> and safeguarded)</w:t>
            </w:r>
          </w:p>
        </w:tc>
        <w:tc>
          <w:tcPr>
            <w:tcW w:w="1276" w:type="dxa"/>
            <w:shd w:val="clear" w:color="auto" w:fill="auto"/>
          </w:tcPr>
          <w:p w14:paraId="75513120" w14:textId="5EEC0126" w:rsidR="002E3195" w:rsidRPr="005F53CF" w:rsidRDefault="00BE4D2E" w:rsidP="008F0F48">
            <w:pPr>
              <w:spacing w:after="0"/>
              <w:jc w:val="right"/>
              <w:rPr>
                <w:rFonts w:ascii="Arial" w:hAnsi="Arial" w:cs="Arial"/>
                <w:sz w:val="24"/>
                <w:szCs w:val="24"/>
                <w:lang w:eastAsia="en-GB"/>
              </w:rPr>
            </w:pPr>
            <w:r>
              <w:rPr>
                <w:rFonts w:ascii="Arial" w:hAnsi="Arial" w:cs="Arial"/>
                <w:sz w:val="24"/>
                <w:szCs w:val="24"/>
                <w:lang w:eastAsia="en-GB"/>
              </w:rPr>
              <w:t>1,816</w:t>
            </w:r>
          </w:p>
        </w:tc>
        <w:tc>
          <w:tcPr>
            <w:tcW w:w="1276" w:type="dxa"/>
            <w:shd w:val="clear" w:color="auto" w:fill="auto"/>
          </w:tcPr>
          <w:p w14:paraId="46D68CFD" w14:textId="092693E1" w:rsidR="002E3195" w:rsidRPr="005F53CF" w:rsidRDefault="002E3195" w:rsidP="00A60A85">
            <w:pPr>
              <w:spacing w:after="0"/>
              <w:jc w:val="right"/>
              <w:rPr>
                <w:rFonts w:ascii="Arial" w:hAnsi="Arial" w:cs="Arial"/>
                <w:b/>
                <w:sz w:val="24"/>
                <w:szCs w:val="24"/>
                <w:lang w:eastAsia="en-GB"/>
              </w:rPr>
            </w:pPr>
            <w:r w:rsidRPr="005F53CF">
              <w:rPr>
                <w:rFonts w:ascii="Arial" w:hAnsi="Arial" w:cs="Arial"/>
                <w:b/>
                <w:sz w:val="24"/>
                <w:szCs w:val="24"/>
              </w:rPr>
              <w:t>6</w:t>
            </w:r>
            <w:r w:rsidR="00E4238D" w:rsidRPr="005F53CF">
              <w:rPr>
                <w:rFonts w:ascii="Arial" w:hAnsi="Arial" w:cs="Arial"/>
                <w:b/>
                <w:sz w:val="24"/>
                <w:szCs w:val="24"/>
              </w:rPr>
              <w:t>52</w:t>
            </w:r>
          </w:p>
        </w:tc>
        <w:tc>
          <w:tcPr>
            <w:tcW w:w="1276" w:type="dxa"/>
            <w:shd w:val="clear" w:color="auto" w:fill="auto"/>
          </w:tcPr>
          <w:p w14:paraId="2FEBA332" w14:textId="30D952C2" w:rsidR="002E3195" w:rsidRPr="005F53CF" w:rsidRDefault="00E4238D" w:rsidP="00E4238D">
            <w:pPr>
              <w:spacing w:after="0"/>
              <w:jc w:val="right"/>
              <w:rPr>
                <w:rFonts w:ascii="Arial" w:hAnsi="Arial" w:cs="Arial"/>
                <w:sz w:val="24"/>
                <w:szCs w:val="24"/>
                <w:lang w:eastAsia="en-GB"/>
              </w:rPr>
            </w:pPr>
            <w:r w:rsidRPr="005F53CF">
              <w:rPr>
                <w:rFonts w:ascii="Arial" w:hAnsi="Arial" w:cs="Arial"/>
                <w:sz w:val="24"/>
                <w:szCs w:val="24"/>
              </w:rPr>
              <w:t>722</w:t>
            </w:r>
          </w:p>
        </w:tc>
        <w:tc>
          <w:tcPr>
            <w:tcW w:w="992" w:type="dxa"/>
            <w:shd w:val="clear" w:color="auto" w:fill="auto"/>
          </w:tcPr>
          <w:p w14:paraId="7DE09478" w14:textId="79CA2391" w:rsidR="002E3195" w:rsidRPr="005F53CF" w:rsidRDefault="00BE4D2E" w:rsidP="00A60A85">
            <w:pPr>
              <w:spacing w:after="0"/>
              <w:jc w:val="right"/>
              <w:rPr>
                <w:rFonts w:ascii="Arial" w:hAnsi="Arial" w:cs="Arial"/>
                <w:sz w:val="24"/>
                <w:szCs w:val="24"/>
                <w:lang w:eastAsia="en-GB"/>
              </w:rPr>
            </w:pPr>
            <w:r>
              <w:rPr>
                <w:rFonts w:ascii="Arial" w:hAnsi="Arial" w:cs="Arial"/>
                <w:sz w:val="24"/>
                <w:szCs w:val="24"/>
                <w:lang w:eastAsia="en-GB"/>
              </w:rPr>
              <w:t>4,000</w:t>
            </w:r>
          </w:p>
        </w:tc>
        <w:tc>
          <w:tcPr>
            <w:tcW w:w="1417" w:type="dxa"/>
            <w:shd w:val="clear" w:color="auto" w:fill="auto"/>
          </w:tcPr>
          <w:p w14:paraId="2BACC199" w14:textId="14CF8F1D" w:rsidR="002E3195" w:rsidRPr="005F53CF" w:rsidRDefault="00BE4D2E" w:rsidP="006D53F7">
            <w:pPr>
              <w:spacing w:after="0"/>
              <w:jc w:val="right"/>
              <w:rPr>
                <w:rFonts w:ascii="Arial" w:hAnsi="Arial" w:cs="Arial"/>
                <w:sz w:val="24"/>
                <w:szCs w:val="24"/>
                <w:lang w:eastAsia="en-GB"/>
              </w:rPr>
            </w:pPr>
            <w:r>
              <w:rPr>
                <w:rFonts w:ascii="Arial" w:hAnsi="Arial" w:cs="Arial"/>
                <w:sz w:val="24"/>
                <w:szCs w:val="24"/>
                <w:lang w:eastAsia="en-GB"/>
              </w:rPr>
              <w:t>6,854</w:t>
            </w:r>
          </w:p>
        </w:tc>
        <w:tc>
          <w:tcPr>
            <w:tcW w:w="1560" w:type="dxa"/>
            <w:shd w:val="clear" w:color="auto" w:fill="auto"/>
          </w:tcPr>
          <w:p w14:paraId="1D8BC3C1" w14:textId="4E101679" w:rsidR="002E3195" w:rsidRPr="005F53CF" w:rsidRDefault="00DB6B20" w:rsidP="006D53F7">
            <w:pPr>
              <w:spacing w:after="0"/>
              <w:jc w:val="right"/>
              <w:rPr>
                <w:rFonts w:ascii="Arial" w:hAnsi="Arial" w:cs="Arial"/>
                <w:sz w:val="24"/>
                <w:szCs w:val="24"/>
                <w:lang w:eastAsia="en-GB"/>
              </w:rPr>
            </w:pPr>
            <w:r>
              <w:rPr>
                <w:rFonts w:ascii="Arial" w:hAnsi="Arial" w:cs="Arial"/>
                <w:sz w:val="24"/>
                <w:szCs w:val="24"/>
                <w:lang w:eastAsia="en-GB"/>
              </w:rPr>
              <w:t>5797</w:t>
            </w:r>
          </w:p>
        </w:tc>
      </w:tr>
      <w:tr w:rsidR="002E3195" w:rsidRPr="005F53CF" w14:paraId="46F9A777" w14:textId="77777777" w:rsidTr="00AC4A82">
        <w:trPr>
          <w:trHeight w:val="232"/>
        </w:trPr>
        <w:tc>
          <w:tcPr>
            <w:tcW w:w="2410" w:type="dxa"/>
            <w:shd w:val="clear" w:color="auto" w:fill="auto"/>
            <w:noWrap/>
          </w:tcPr>
          <w:p w14:paraId="1DE92B5D" w14:textId="77777777" w:rsidR="002E3195" w:rsidRPr="005F53CF" w:rsidRDefault="002E3195" w:rsidP="00A60A85">
            <w:pPr>
              <w:spacing w:after="0"/>
              <w:jc w:val="left"/>
              <w:rPr>
                <w:rFonts w:ascii="Arial" w:hAnsi="Arial" w:cs="Arial"/>
                <w:sz w:val="24"/>
                <w:szCs w:val="24"/>
                <w:lang w:eastAsia="en-GB"/>
              </w:rPr>
            </w:pPr>
            <w:r w:rsidRPr="005F53CF">
              <w:rPr>
                <w:rFonts w:ascii="Arial" w:hAnsi="Arial" w:cs="Arial"/>
                <w:sz w:val="24"/>
                <w:szCs w:val="24"/>
              </w:rPr>
              <w:t>New Homes Created</w:t>
            </w:r>
          </w:p>
        </w:tc>
        <w:tc>
          <w:tcPr>
            <w:tcW w:w="1276" w:type="dxa"/>
            <w:shd w:val="clear" w:color="auto" w:fill="auto"/>
          </w:tcPr>
          <w:p w14:paraId="15315CCA" w14:textId="77777777" w:rsidR="002E3195" w:rsidRPr="005F53CF" w:rsidRDefault="002E3195" w:rsidP="00A60A85">
            <w:pPr>
              <w:spacing w:after="0"/>
              <w:jc w:val="right"/>
              <w:rPr>
                <w:rFonts w:ascii="Arial" w:hAnsi="Arial" w:cs="Arial"/>
                <w:sz w:val="24"/>
                <w:szCs w:val="24"/>
                <w:lang w:eastAsia="en-GB"/>
              </w:rPr>
            </w:pPr>
            <w:r w:rsidRPr="005F53CF">
              <w:rPr>
                <w:rFonts w:ascii="Arial" w:hAnsi="Arial" w:cs="Arial"/>
                <w:sz w:val="24"/>
                <w:szCs w:val="24"/>
              </w:rPr>
              <w:t>408</w:t>
            </w:r>
          </w:p>
        </w:tc>
        <w:tc>
          <w:tcPr>
            <w:tcW w:w="1276" w:type="dxa"/>
            <w:shd w:val="clear" w:color="auto" w:fill="auto"/>
          </w:tcPr>
          <w:p w14:paraId="21C1683C" w14:textId="77777777" w:rsidR="002E3195" w:rsidRPr="005F53CF" w:rsidRDefault="002E3195" w:rsidP="00A60A85">
            <w:pPr>
              <w:spacing w:after="0"/>
              <w:jc w:val="right"/>
              <w:rPr>
                <w:rFonts w:ascii="Arial" w:hAnsi="Arial" w:cs="Arial"/>
                <w:b/>
                <w:sz w:val="24"/>
                <w:szCs w:val="24"/>
                <w:lang w:eastAsia="en-GB"/>
              </w:rPr>
            </w:pPr>
            <w:r w:rsidRPr="005F53CF">
              <w:rPr>
                <w:rFonts w:ascii="Arial" w:hAnsi="Arial" w:cs="Arial"/>
                <w:b/>
                <w:sz w:val="24"/>
                <w:szCs w:val="24"/>
              </w:rPr>
              <w:t>145</w:t>
            </w:r>
          </w:p>
        </w:tc>
        <w:tc>
          <w:tcPr>
            <w:tcW w:w="1276" w:type="dxa"/>
            <w:shd w:val="clear" w:color="auto" w:fill="auto"/>
          </w:tcPr>
          <w:p w14:paraId="13C877C7" w14:textId="77777777" w:rsidR="002E3195" w:rsidRPr="005F53CF" w:rsidRDefault="002E3195" w:rsidP="00A60A85">
            <w:pPr>
              <w:spacing w:after="0"/>
              <w:jc w:val="right"/>
              <w:rPr>
                <w:rFonts w:ascii="Arial" w:hAnsi="Arial" w:cs="Arial"/>
                <w:sz w:val="24"/>
                <w:szCs w:val="24"/>
                <w:lang w:eastAsia="en-GB"/>
              </w:rPr>
            </w:pPr>
            <w:r w:rsidRPr="005F53CF">
              <w:rPr>
                <w:rFonts w:ascii="Arial" w:hAnsi="Arial" w:cs="Arial"/>
                <w:sz w:val="24"/>
                <w:szCs w:val="24"/>
              </w:rPr>
              <w:t>1,468</w:t>
            </w:r>
          </w:p>
        </w:tc>
        <w:tc>
          <w:tcPr>
            <w:tcW w:w="992" w:type="dxa"/>
            <w:shd w:val="clear" w:color="auto" w:fill="auto"/>
          </w:tcPr>
          <w:p w14:paraId="0CA7C6B1" w14:textId="5A3B03C3" w:rsidR="002E3195" w:rsidRPr="005F53CF" w:rsidRDefault="00DB6B20" w:rsidP="00A60A85">
            <w:pPr>
              <w:spacing w:after="0"/>
              <w:jc w:val="right"/>
              <w:rPr>
                <w:rFonts w:ascii="Arial" w:hAnsi="Arial" w:cs="Arial"/>
                <w:sz w:val="24"/>
                <w:szCs w:val="24"/>
                <w:lang w:eastAsia="en-GB"/>
              </w:rPr>
            </w:pPr>
            <w:r>
              <w:rPr>
                <w:rFonts w:ascii="Arial" w:hAnsi="Arial" w:cs="Arial"/>
                <w:sz w:val="24"/>
                <w:szCs w:val="24"/>
                <w:lang w:eastAsia="en-GB"/>
              </w:rPr>
              <w:t>3,000</w:t>
            </w:r>
          </w:p>
        </w:tc>
        <w:tc>
          <w:tcPr>
            <w:tcW w:w="1417" w:type="dxa"/>
            <w:shd w:val="clear" w:color="auto" w:fill="auto"/>
          </w:tcPr>
          <w:p w14:paraId="1B7E2D06" w14:textId="77777777" w:rsidR="002E3195" w:rsidRPr="005F53CF" w:rsidRDefault="002E3195" w:rsidP="00A60A85">
            <w:pPr>
              <w:spacing w:after="0"/>
              <w:jc w:val="right"/>
              <w:rPr>
                <w:rFonts w:ascii="Arial" w:hAnsi="Arial" w:cs="Arial"/>
                <w:sz w:val="24"/>
                <w:szCs w:val="24"/>
                <w:lang w:eastAsia="en-GB"/>
              </w:rPr>
            </w:pPr>
            <w:r w:rsidRPr="005F53CF">
              <w:rPr>
                <w:rFonts w:ascii="Arial" w:hAnsi="Arial" w:cs="Arial"/>
                <w:sz w:val="24"/>
                <w:szCs w:val="24"/>
              </w:rPr>
              <w:t>3,400</w:t>
            </w:r>
          </w:p>
        </w:tc>
        <w:tc>
          <w:tcPr>
            <w:tcW w:w="1560" w:type="dxa"/>
            <w:shd w:val="clear" w:color="auto" w:fill="auto"/>
          </w:tcPr>
          <w:p w14:paraId="529205E9" w14:textId="77777777" w:rsidR="002E3195" w:rsidRPr="005F53CF" w:rsidRDefault="002E3195" w:rsidP="00A60A85">
            <w:pPr>
              <w:spacing w:after="0"/>
              <w:jc w:val="right"/>
              <w:rPr>
                <w:rFonts w:ascii="Arial" w:hAnsi="Arial" w:cs="Arial"/>
                <w:sz w:val="24"/>
                <w:szCs w:val="24"/>
                <w:lang w:eastAsia="en-GB"/>
              </w:rPr>
            </w:pPr>
            <w:r w:rsidRPr="005F53CF">
              <w:rPr>
                <w:rFonts w:ascii="Arial" w:hAnsi="Arial" w:cs="Arial"/>
                <w:sz w:val="24"/>
                <w:szCs w:val="24"/>
              </w:rPr>
              <w:t>3,400</w:t>
            </w:r>
          </w:p>
        </w:tc>
      </w:tr>
      <w:tr w:rsidR="002E3195" w:rsidRPr="005F53CF" w14:paraId="42BC19CB" w14:textId="77777777" w:rsidTr="00AC4A82">
        <w:trPr>
          <w:trHeight w:val="232"/>
        </w:trPr>
        <w:tc>
          <w:tcPr>
            <w:tcW w:w="2410" w:type="dxa"/>
            <w:shd w:val="clear" w:color="auto" w:fill="auto"/>
            <w:noWrap/>
          </w:tcPr>
          <w:p w14:paraId="729A68AE" w14:textId="360B3652" w:rsidR="002E3195" w:rsidRPr="005F53CF" w:rsidRDefault="002E3195" w:rsidP="00DB6B20">
            <w:pPr>
              <w:spacing w:after="0"/>
              <w:jc w:val="left"/>
              <w:rPr>
                <w:rFonts w:ascii="Arial" w:hAnsi="Arial" w:cs="Arial"/>
                <w:sz w:val="24"/>
                <w:szCs w:val="24"/>
                <w:lang w:eastAsia="en-GB"/>
              </w:rPr>
            </w:pPr>
            <w:r w:rsidRPr="005F53CF">
              <w:rPr>
                <w:rFonts w:ascii="Arial" w:hAnsi="Arial" w:cs="Arial"/>
                <w:sz w:val="24"/>
                <w:szCs w:val="24"/>
              </w:rPr>
              <w:t>Leverage (£ms)</w:t>
            </w:r>
            <w:r w:rsidR="00DB6B20">
              <w:rPr>
                <w:rFonts w:ascii="Arial" w:hAnsi="Arial" w:cs="Arial"/>
                <w:sz w:val="24"/>
                <w:szCs w:val="24"/>
              </w:rPr>
              <w:t xml:space="preserve"> (Public/Private Sector Leverage/Follow on Investments </w:t>
            </w:r>
          </w:p>
        </w:tc>
        <w:tc>
          <w:tcPr>
            <w:tcW w:w="1276" w:type="dxa"/>
            <w:shd w:val="clear" w:color="auto" w:fill="auto"/>
          </w:tcPr>
          <w:p w14:paraId="28AEBCFE" w14:textId="6330A883" w:rsidR="002E3195" w:rsidRPr="005F53CF" w:rsidRDefault="002E3195" w:rsidP="00DB6B20">
            <w:pPr>
              <w:spacing w:after="0"/>
              <w:jc w:val="right"/>
              <w:rPr>
                <w:rFonts w:ascii="Arial" w:hAnsi="Arial" w:cs="Arial"/>
                <w:sz w:val="24"/>
                <w:szCs w:val="24"/>
                <w:lang w:eastAsia="en-GB"/>
              </w:rPr>
            </w:pPr>
            <w:r w:rsidRPr="005F53CF">
              <w:rPr>
                <w:rFonts w:ascii="Arial" w:hAnsi="Arial" w:cs="Arial"/>
                <w:sz w:val="24"/>
                <w:szCs w:val="24"/>
              </w:rPr>
              <w:t>£</w:t>
            </w:r>
            <w:r w:rsidR="00DB6B20">
              <w:rPr>
                <w:rFonts w:ascii="Arial" w:hAnsi="Arial" w:cs="Arial"/>
                <w:sz w:val="24"/>
                <w:szCs w:val="24"/>
              </w:rPr>
              <w:t>34.38</w:t>
            </w:r>
          </w:p>
        </w:tc>
        <w:tc>
          <w:tcPr>
            <w:tcW w:w="1276" w:type="dxa"/>
            <w:shd w:val="clear" w:color="auto" w:fill="auto"/>
          </w:tcPr>
          <w:p w14:paraId="529537C3" w14:textId="168162F3" w:rsidR="002E3195" w:rsidRPr="005F53CF" w:rsidRDefault="00DB6B20" w:rsidP="00A60A85">
            <w:pPr>
              <w:spacing w:after="0"/>
              <w:jc w:val="right"/>
              <w:rPr>
                <w:rFonts w:ascii="Arial" w:hAnsi="Arial" w:cs="Arial"/>
                <w:b/>
                <w:sz w:val="24"/>
                <w:szCs w:val="24"/>
                <w:lang w:eastAsia="en-GB"/>
              </w:rPr>
            </w:pPr>
            <w:r>
              <w:rPr>
                <w:rFonts w:ascii="Arial" w:hAnsi="Arial" w:cs="Arial"/>
                <w:b/>
                <w:sz w:val="24"/>
                <w:szCs w:val="24"/>
                <w:lang w:eastAsia="en-GB"/>
              </w:rPr>
              <w:t>£34.89</w:t>
            </w:r>
          </w:p>
        </w:tc>
        <w:tc>
          <w:tcPr>
            <w:tcW w:w="1276" w:type="dxa"/>
            <w:shd w:val="clear" w:color="auto" w:fill="auto"/>
          </w:tcPr>
          <w:p w14:paraId="4189055D" w14:textId="4FA89A17" w:rsidR="002E3195" w:rsidRPr="005F53CF" w:rsidRDefault="006D53F7" w:rsidP="00DB6B20">
            <w:pPr>
              <w:spacing w:after="0"/>
              <w:jc w:val="right"/>
              <w:rPr>
                <w:rFonts w:ascii="Arial" w:hAnsi="Arial" w:cs="Arial"/>
                <w:sz w:val="24"/>
                <w:szCs w:val="24"/>
                <w:lang w:eastAsia="en-GB"/>
              </w:rPr>
            </w:pPr>
            <w:r w:rsidRPr="005F53CF">
              <w:rPr>
                <w:rFonts w:ascii="Arial" w:hAnsi="Arial" w:cs="Arial"/>
                <w:sz w:val="24"/>
                <w:szCs w:val="24"/>
              </w:rPr>
              <w:t>£</w:t>
            </w:r>
            <w:r w:rsidR="00DB6B20">
              <w:rPr>
                <w:rFonts w:ascii="Arial" w:hAnsi="Arial" w:cs="Arial"/>
                <w:sz w:val="24"/>
                <w:szCs w:val="24"/>
              </w:rPr>
              <w:t>27.45</w:t>
            </w:r>
          </w:p>
        </w:tc>
        <w:tc>
          <w:tcPr>
            <w:tcW w:w="992" w:type="dxa"/>
            <w:shd w:val="clear" w:color="auto" w:fill="auto"/>
          </w:tcPr>
          <w:p w14:paraId="409F8C3D" w14:textId="0906A6F3" w:rsidR="002E3195" w:rsidRPr="005F53CF" w:rsidRDefault="00DB6B20" w:rsidP="00A60A85">
            <w:pPr>
              <w:spacing w:after="0"/>
              <w:jc w:val="right"/>
              <w:rPr>
                <w:rFonts w:ascii="Arial" w:hAnsi="Arial" w:cs="Arial"/>
                <w:sz w:val="24"/>
                <w:szCs w:val="24"/>
                <w:lang w:eastAsia="en-GB"/>
              </w:rPr>
            </w:pPr>
            <w:r>
              <w:rPr>
                <w:rFonts w:ascii="Arial" w:hAnsi="Arial" w:cs="Arial"/>
                <w:sz w:val="24"/>
                <w:szCs w:val="24"/>
                <w:lang w:eastAsia="en-GB"/>
              </w:rPr>
              <w:t>£100</w:t>
            </w:r>
          </w:p>
        </w:tc>
        <w:tc>
          <w:tcPr>
            <w:tcW w:w="1417" w:type="dxa"/>
            <w:shd w:val="clear" w:color="auto" w:fill="auto"/>
          </w:tcPr>
          <w:p w14:paraId="43D3D6A1" w14:textId="3FFF1B92" w:rsidR="002E3195" w:rsidRPr="005F53CF" w:rsidRDefault="002E3195" w:rsidP="00DB6B20">
            <w:pPr>
              <w:spacing w:after="0"/>
              <w:jc w:val="right"/>
              <w:rPr>
                <w:rFonts w:ascii="Arial" w:hAnsi="Arial" w:cs="Arial"/>
                <w:sz w:val="24"/>
                <w:szCs w:val="24"/>
                <w:lang w:eastAsia="en-GB"/>
              </w:rPr>
            </w:pPr>
            <w:r w:rsidRPr="005F53CF">
              <w:rPr>
                <w:rFonts w:ascii="Arial" w:hAnsi="Arial" w:cs="Arial"/>
                <w:sz w:val="24"/>
                <w:szCs w:val="24"/>
              </w:rPr>
              <w:t>£</w:t>
            </w:r>
            <w:r w:rsidR="00DB6B20">
              <w:rPr>
                <w:rFonts w:ascii="Arial" w:hAnsi="Arial" w:cs="Arial"/>
                <w:sz w:val="24"/>
                <w:szCs w:val="24"/>
              </w:rPr>
              <w:t>118.42</w:t>
            </w:r>
          </w:p>
        </w:tc>
        <w:tc>
          <w:tcPr>
            <w:tcW w:w="1560" w:type="dxa"/>
            <w:shd w:val="clear" w:color="auto" w:fill="auto"/>
          </w:tcPr>
          <w:p w14:paraId="30DDA97E" w14:textId="569E1133" w:rsidR="002E3195" w:rsidRPr="005F53CF" w:rsidRDefault="00DB6B20" w:rsidP="00A60A85">
            <w:pPr>
              <w:spacing w:after="0"/>
              <w:jc w:val="right"/>
              <w:rPr>
                <w:rFonts w:ascii="Arial" w:hAnsi="Arial" w:cs="Arial"/>
                <w:sz w:val="24"/>
                <w:szCs w:val="24"/>
                <w:lang w:eastAsia="en-GB"/>
              </w:rPr>
            </w:pPr>
            <w:r>
              <w:rPr>
                <w:rFonts w:ascii="Arial" w:hAnsi="Arial" w:cs="Arial"/>
                <w:sz w:val="24"/>
                <w:szCs w:val="24"/>
              </w:rPr>
              <w:t>£104.64</w:t>
            </w:r>
          </w:p>
        </w:tc>
      </w:tr>
      <w:tr w:rsidR="002E3195" w:rsidRPr="005F53CF" w14:paraId="64CEBEFC" w14:textId="77777777" w:rsidTr="00AC4A82">
        <w:trPr>
          <w:trHeight w:val="232"/>
        </w:trPr>
        <w:tc>
          <w:tcPr>
            <w:tcW w:w="2410" w:type="dxa"/>
            <w:shd w:val="clear" w:color="auto" w:fill="auto"/>
            <w:noWrap/>
          </w:tcPr>
          <w:p w14:paraId="1EFBCEDF" w14:textId="5F3F6E73" w:rsidR="002E3195" w:rsidRPr="005F53CF" w:rsidRDefault="002E3195" w:rsidP="00A60A85">
            <w:pPr>
              <w:spacing w:after="0"/>
              <w:jc w:val="left"/>
              <w:rPr>
                <w:rFonts w:ascii="Arial" w:hAnsi="Arial" w:cs="Arial"/>
                <w:sz w:val="24"/>
                <w:szCs w:val="24"/>
                <w:lang w:eastAsia="en-GB"/>
              </w:rPr>
            </w:pPr>
            <w:r w:rsidRPr="005F53CF">
              <w:rPr>
                <w:rFonts w:ascii="Arial" w:hAnsi="Arial" w:cs="Arial"/>
                <w:sz w:val="24"/>
                <w:szCs w:val="24"/>
              </w:rPr>
              <w:t>Premises Created (Sqm)</w:t>
            </w:r>
            <w:r w:rsidR="00DB6B20">
              <w:rPr>
                <w:rFonts w:ascii="Arial" w:hAnsi="Arial" w:cs="Arial"/>
                <w:sz w:val="24"/>
                <w:szCs w:val="24"/>
              </w:rPr>
              <w:t>/Refurbished</w:t>
            </w:r>
          </w:p>
        </w:tc>
        <w:tc>
          <w:tcPr>
            <w:tcW w:w="1276" w:type="dxa"/>
            <w:shd w:val="clear" w:color="auto" w:fill="auto"/>
          </w:tcPr>
          <w:p w14:paraId="3D3BFE3B" w14:textId="1A01B187" w:rsidR="002E3195" w:rsidRPr="005F53CF" w:rsidRDefault="00DB6B20" w:rsidP="00A60A85">
            <w:pPr>
              <w:spacing w:after="0"/>
              <w:jc w:val="right"/>
              <w:rPr>
                <w:rFonts w:ascii="Arial" w:hAnsi="Arial" w:cs="Arial"/>
                <w:sz w:val="24"/>
                <w:szCs w:val="24"/>
                <w:lang w:eastAsia="en-GB"/>
              </w:rPr>
            </w:pPr>
            <w:r>
              <w:rPr>
                <w:rFonts w:ascii="Arial" w:hAnsi="Arial" w:cs="Arial"/>
                <w:sz w:val="24"/>
                <w:szCs w:val="24"/>
                <w:lang w:eastAsia="en-GB"/>
              </w:rPr>
              <w:t>95,061</w:t>
            </w:r>
          </w:p>
        </w:tc>
        <w:tc>
          <w:tcPr>
            <w:tcW w:w="1276" w:type="dxa"/>
            <w:shd w:val="clear" w:color="auto" w:fill="auto"/>
          </w:tcPr>
          <w:p w14:paraId="4194EBC5" w14:textId="28794835" w:rsidR="002E3195" w:rsidRPr="005F53CF" w:rsidRDefault="00DB6B20" w:rsidP="00DB6B20">
            <w:pPr>
              <w:spacing w:after="0"/>
              <w:jc w:val="right"/>
              <w:rPr>
                <w:rFonts w:ascii="Arial" w:hAnsi="Arial" w:cs="Arial"/>
                <w:b/>
                <w:sz w:val="24"/>
                <w:szCs w:val="24"/>
                <w:lang w:eastAsia="en-GB"/>
              </w:rPr>
            </w:pPr>
            <w:r>
              <w:rPr>
                <w:rFonts w:ascii="Arial" w:hAnsi="Arial" w:cs="Arial"/>
                <w:b/>
                <w:sz w:val="24"/>
                <w:szCs w:val="24"/>
              </w:rPr>
              <w:t>15,935</w:t>
            </w:r>
          </w:p>
        </w:tc>
        <w:tc>
          <w:tcPr>
            <w:tcW w:w="1276" w:type="dxa"/>
            <w:shd w:val="clear" w:color="auto" w:fill="auto"/>
          </w:tcPr>
          <w:p w14:paraId="0925CDEB" w14:textId="17B7B308" w:rsidR="002E3195" w:rsidRPr="005F53CF" w:rsidRDefault="00DB6B20" w:rsidP="005F1753">
            <w:pPr>
              <w:spacing w:after="0"/>
              <w:jc w:val="right"/>
              <w:rPr>
                <w:rFonts w:ascii="Arial" w:hAnsi="Arial" w:cs="Arial"/>
                <w:sz w:val="24"/>
                <w:szCs w:val="24"/>
                <w:lang w:eastAsia="en-GB"/>
              </w:rPr>
            </w:pPr>
            <w:r>
              <w:rPr>
                <w:rFonts w:ascii="Arial" w:hAnsi="Arial" w:cs="Arial"/>
                <w:sz w:val="24"/>
                <w:szCs w:val="24"/>
              </w:rPr>
              <w:t>35,9</w:t>
            </w:r>
            <w:r w:rsidR="006D53F7" w:rsidRPr="005F53CF">
              <w:rPr>
                <w:rFonts w:ascii="Arial" w:hAnsi="Arial" w:cs="Arial"/>
                <w:sz w:val="24"/>
                <w:szCs w:val="24"/>
              </w:rPr>
              <w:t>56</w:t>
            </w:r>
          </w:p>
        </w:tc>
        <w:tc>
          <w:tcPr>
            <w:tcW w:w="992" w:type="dxa"/>
            <w:shd w:val="clear" w:color="auto" w:fill="auto"/>
          </w:tcPr>
          <w:p w14:paraId="0A5972B0" w14:textId="1EF91DB9" w:rsidR="002E3195" w:rsidRPr="005F53CF" w:rsidRDefault="00DB6B20" w:rsidP="00A60A85">
            <w:pPr>
              <w:spacing w:after="0"/>
              <w:jc w:val="right"/>
              <w:rPr>
                <w:rFonts w:ascii="Arial" w:hAnsi="Arial" w:cs="Arial"/>
                <w:sz w:val="24"/>
                <w:szCs w:val="24"/>
                <w:lang w:eastAsia="en-GB"/>
              </w:rPr>
            </w:pPr>
            <w:r>
              <w:rPr>
                <w:rFonts w:ascii="Arial" w:hAnsi="Arial" w:cs="Arial"/>
                <w:sz w:val="24"/>
                <w:szCs w:val="24"/>
                <w:lang w:eastAsia="en-GB"/>
              </w:rPr>
              <w:t>62,000</w:t>
            </w:r>
          </w:p>
        </w:tc>
        <w:tc>
          <w:tcPr>
            <w:tcW w:w="1417" w:type="dxa"/>
            <w:shd w:val="clear" w:color="auto" w:fill="auto"/>
          </w:tcPr>
          <w:p w14:paraId="249173E6" w14:textId="2A82FE16" w:rsidR="002E3195" w:rsidRPr="005F53CF" w:rsidRDefault="006D53F7" w:rsidP="00DB6B20">
            <w:pPr>
              <w:spacing w:after="0"/>
              <w:jc w:val="right"/>
              <w:rPr>
                <w:rFonts w:ascii="Arial" w:hAnsi="Arial" w:cs="Arial"/>
                <w:sz w:val="24"/>
                <w:szCs w:val="24"/>
                <w:lang w:eastAsia="en-GB"/>
              </w:rPr>
            </w:pPr>
            <w:r w:rsidRPr="005F53CF">
              <w:rPr>
                <w:rFonts w:ascii="Arial" w:hAnsi="Arial" w:cs="Arial"/>
                <w:sz w:val="24"/>
                <w:szCs w:val="24"/>
              </w:rPr>
              <w:t>21</w:t>
            </w:r>
            <w:r w:rsidR="00DB6B20">
              <w:rPr>
                <w:rFonts w:ascii="Arial" w:hAnsi="Arial" w:cs="Arial"/>
                <w:sz w:val="24"/>
                <w:szCs w:val="24"/>
              </w:rPr>
              <w:t>8,769</w:t>
            </w:r>
          </w:p>
        </w:tc>
        <w:tc>
          <w:tcPr>
            <w:tcW w:w="1560" w:type="dxa"/>
            <w:shd w:val="clear" w:color="auto" w:fill="auto"/>
          </w:tcPr>
          <w:p w14:paraId="7B180D9A" w14:textId="0C972F2A" w:rsidR="002E3195" w:rsidRPr="005F53CF" w:rsidRDefault="00DB6B20" w:rsidP="00DB6B20">
            <w:pPr>
              <w:spacing w:after="0"/>
              <w:jc w:val="right"/>
              <w:rPr>
                <w:rFonts w:ascii="Arial" w:hAnsi="Arial" w:cs="Arial"/>
                <w:sz w:val="24"/>
                <w:szCs w:val="24"/>
                <w:lang w:eastAsia="en-GB"/>
              </w:rPr>
            </w:pPr>
            <w:r>
              <w:rPr>
                <w:rFonts w:ascii="Arial" w:hAnsi="Arial" w:cs="Arial"/>
                <w:sz w:val="24"/>
                <w:szCs w:val="24"/>
              </w:rPr>
              <w:t>199,905</w:t>
            </w:r>
          </w:p>
        </w:tc>
      </w:tr>
      <w:tr w:rsidR="002E3195" w:rsidRPr="005F53CF" w14:paraId="5222050C" w14:textId="77777777" w:rsidTr="00AC4A82">
        <w:trPr>
          <w:trHeight w:val="232"/>
        </w:trPr>
        <w:tc>
          <w:tcPr>
            <w:tcW w:w="2410" w:type="dxa"/>
            <w:shd w:val="clear" w:color="auto" w:fill="auto"/>
            <w:noWrap/>
          </w:tcPr>
          <w:p w14:paraId="0B7CE5FA" w14:textId="77777777" w:rsidR="002E3195" w:rsidRPr="005F53CF" w:rsidRDefault="002E3195" w:rsidP="00A60A85">
            <w:pPr>
              <w:spacing w:after="0"/>
              <w:jc w:val="left"/>
              <w:rPr>
                <w:rFonts w:ascii="Arial" w:hAnsi="Arial" w:cs="Arial"/>
                <w:sz w:val="24"/>
                <w:szCs w:val="24"/>
                <w:lang w:eastAsia="en-GB"/>
              </w:rPr>
            </w:pPr>
            <w:r w:rsidRPr="005F53CF">
              <w:rPr>
                <w:rFonts w:ascii="Arial" w:hAnsi="Arial" w:cs="Arial"/>
                <w:sz w:val="24"/>
                <w:szCs w:val="24"/>
              </w:rPr>
              <w:t>Serviced Employment Land (Ha)</w:t>
            </w:r>
          </w:p>
        </w:tc>
        <w:tc>
          <w:tcPr>
            <w:tcW w:w="1276" w:type="dxa"/>
            <w:shd w:val="clear" w:color="auto" w:fill="auto"/>
          </w:tcPr>
          <w:p w14:paraId="518F6436" w14:textId="0A8F7E6F" w:rsidR="002E3195" w:rsidRPr="005F53CF" w:rsidRDefault="002E3195" w:rsidP="008F0F48">
            <w:pPr>
              <w:spacing w:after="0"/>
              <w:jc w:val="right"/>
              <w:rPr>
                <w:rFonts w:ascii="Arial" w:hAnsi="Arial" w:cs="Arial"/>
                <w:sz w:val="24"/>
                <w:szCs w:val="24"/>
                <w:lang w:eastAsia="en-GB"/>
              </w:rPr>
            </w:pPr>
            <w:r w:rsidRPr="005F53CF">
              <w:rPr>
                <w:rFonts w:ascii="Arial" w:hAnsi="Arial" w:cs="Arial"/>
                <w:sz w:val="24"/>
                <w:szCs w:val="24"/>
              </w:rPr>
              <w:t>2.</w:t>
            </w:r>
            <w:r w:rsidR="008F0F48" w:rsidRPr="005F53CF">
              <w:rPr>
                <w:rFonts w:ascii="Arial" w:hAnsi="Arial" w:cs="Arial"/>
                <w:sz w:val="24"/>
                <w:szCs w:val="24"/>
              </w:rPr>
              <w:t>82</w:t>
            </w:r>
          </w:p>
        </w:tc>
        <w:tc>
          <w:tcPr>
            <w:tcW w:w="1276" w:type="dxa"/>
            <w:shd w:val="clear" w:color="auto" w:fill="auto"/>
          </w:tcPr>
          <w:p w14:paraId="050454E5" w14:textId="3DF213C8" w:rsidR="002E3195" w:rsidRPr="005F53CF" w:rsidRDefault="006D53F7" w:rsidP="005F1753">
            <w:pPr>
              <w:spacing w:after="0"/>
              <w:jc w:val="right"/>
              <w:rPr>
                <w:rFonts w:ascii="Arial" w:hAnsi="Arial" w:cs="Arial"/>
                <w:b/>
                <w:sz w:val="24"/>
                <w:szCs w:val="24"/>
                <w:lang w:eastAsia="en-GB"/>
              </w:rPr>
            </w:pPr>
            <w:r w:rsidRPr="005F53CF">
              <w:rPr>
                <w:rFonts w:ascii="Arial" w:hAnsi="Arial" w:cs="Arial"/>
                <w:b/>
                <w:sz w:val="24"/>
                <w:szCs w:val="24"/>
              </w:rPr>
              <w:t>9.66</w:t>
            </w:r>
          </w:p>
        </w:tc>
        <w:tc>
          <w:tcPr>
            <w:tcW w:w="1276" w:type="dxa"/>
            <w:shd w:val="clear" w:color="auto" w:fill="auto"/>
          </w:tcPr>
          <w:p w14:paraId="1239908A" w14:textId="0AEDC6FC" w:rsidR="002E3195" w:rsidRPr="005F53CF" w:rsidRDefault="006D53F7" w:rsidP="00A60A85">
            <w:pPr>
              <w:spacing w:after="0"/>
              <w:jc w:val="right"/>
              <w:rPr>
                <w:rFonts w:ascii="Arial" w:hAnsi="Arial" w:cs="Arial"/>
                <w:sz w:val="24"/>
                <w:szCs w:val="24"/>
                <w:lang w:eastAsia="en-GB"/>
              </w:rPr>
            </w:pPr>
            <w:r w:rsidRPr="005F53CF">
              <w:rPr>
                <w:rFonts w:ascii="Arial" w:hAnsi="Arial" w:cs="Arial"/>
                <w:sz w:val="24"/>
                <w:szCs w:val="24"/>
              </w:rPr>
              <w:t>3.57</w:t>
            </w:r>
          </w:p>
        </w:tc>
        <w:tc>
          <w:tcPr>
            <w:tcW w:w="992" w:type="dxa"/>
            <w:shd w:val="clear" w:color="auto" w:fill="auto"/>
          </w:tcPr>
          <w:p w14:paraId="456AAC37" w14:textId="5EF77787" w:rsidR="002E3195" w:rsidRPr="005F53CF" w:rsidRDefault="002E3195" w:rsidP="00A60A85">
            <w:pPr>
              <w:spacing w:after="0"/>
              <w:jc w:val="right"/>
              <w:rPr>
                <w:rFonts w:ascii="Arial" w:hAnsi="Arial" w:cs="Arial"/>
                <w:sz w:val="24"/>
                <w:szCs w:val="24"/>
                <w:lang w:eastAsia="en-GB"/>
              </w:rPr>
            </w:pPr>
          </w:p>
        </w:tc>
        <w:tc>
          <w:tcPr>
            <w:tcW w:w="1417" w:type="dxa"/>
            <w:shd w:val="clear" w:color="auto" w:fill="auto"/>
          </w:tcPr>
          <w:p w14:paraId="285D88A8" w14:textId="77777777" w:rsidR="002E3195" w:rsidRPr="005F53CF" w:rsidRDefault="002E3195" w:rsidP="00A60A85">
            <w:pPr>
              <w:spacing w:after="0"/>
              <w:jc w:val="right"/>
              <w:rPr>
                <w:rFonts w:ascii="Arial" w:hAnsi="Arial" w:cs="Arial"/>
                <w:sz w:val="24"/>
                <w:szCs w:val="24"/>
                <w:lang w:eastAsia="en-GB"/>
              </w:rPr>
            </w:pPr>
            <w:r w:rsidRPr="005F53CF">
              <w:rPr>
                <w:rFonts w:ascii="Arial" w:hAnsi="Arial" w:cs="Arial"/>
                <w:sz w:val="24"/>
                <w:szCs w:val="24"/>
              </w:rPr>
              <w:t>28.39</w:t>
            </w:r>
          </w:p>
        </w:tc>
        <w:tc>
          <w:tcPr>
            <w:tcW w:w="1560" w:type="dxa"/>
            <w:shd w:val="clear" w:color="auto" w:fill="auto"/>
          </w:tcPr>
          <w:p w14:paraId="2750643B" w14:textId="77777777" w:rsidR="002E3195" w:rsidRPr="005F53CF" w:rsidRDefault="002E3195" w:rsidP="00A60A85">
            <w:pPr>
              <w:spacing w:after="0"/>
              <w:jc w:val="right"/>
              <w:rPr>
                <w:rFonts w:ascii="Arial" w:hAnsi="Arial" w:cs="Arial"/>
                <w:sz w:val="24"/>
                <w:szCs w:val="24"/>
                <w:lang w:eastAsia="en-GB"/>
              </w:rPr>
            </w:pPr>
            <w:r w:rsidRPr="005F53CF">
              <w:rPr>
                <w:rFonts w:ascii="Arial" w:hAnsi="Arial" w:cs="Arial"/>
                <w:sz w:val="24"/>
                <w:szCs w:val="24"/>
              </w:rPr>
              <w:t>28.39</w:t>
            </w:r>
          </w:p>
        </w:tc>
      </w:tr>
      <w:tr w:rsidR="002E3195" w:rsidRPr="005F53CF" w14:paraId="678FD13C" w14:textId="77777777" w:rsidTr="00AC4A82">
        <w:trPr>
          <w:trHeight w:val="232"/>
        </w:trPr>
        <w:tc>
          <w:tcPr>
            <w:tcW w:w="2410" w:type="dxa"/>
            <w:shd w:val="clear" w:color="auto" w:fill="auto"/>
            <w:noWrap/>
          </w:tcPr>
          <w:p w14:paraId="7E28807C" w14:textId="77777777" w:rsidR="002E3195" w:rsidRPr="005F53CF" w:rsidRDefault="002E3195" w:rsidP="00A60A85">
            <w:pPr>
              <w:spacing w:after="0"/>
              <w:jc w:val="left"/>
              <w:rPr>
                <w:rFonts w:ascii="Arial" w:hAnsi="Arial" w:cs="Arial"/>
                <w:sz w:val="24"/>
                <w:szCs w:val="24"/>
                <w:lang w:eastAsia="en-GB"/>
              </w:rPr>
            </w:pPr>
            <w:r w:rsidRPr="005F53CF">
              <w:rPr>
                <w:rFonts w:ascii="Arial" w:hAnsi="Arial" w:cs="Arial"/>
                <w:sz w:val="24"/>
                <w:szCs w:val="24"/>
              </w:rPr>
              <w:t>Learning Opportunities</w:t>
            </w:r>
          </w:p>
        </w:tc>
        <w:tc>
          <w:tcPr>
            <w:tcW w:w="1276" w:type="dxa"/>
            <w:shd w:val="clear" w:color="auto" w:fill="auto"/>
          </w:tcPr>
          <w:p w14:paraId="72D62129" w14:textId="56B168E8" w:rsidR="002E3195" w:rsidRPr="005F53CF" w:rsidRDefault="002E3195" w:rsidP="00A60A85">
            <w:pPr>
              <w:spacing w:after="0"/>
              <w:jc w:val="right"/>
              <w:rPr>
                <w:rFonts w:ascii="Arial" w:hAnsi="Arial" w:cs="Arial"/>
                <w:sz w:val="24"/>
                <w:szCs w:val="24"/>
                <w:lang w:eastAsia="en-GB"/>
              </w:rPr>
            </w:pPr>
            <w:r w:rsidRPr="005F53CF">
              <w:rPr>
                <w:rFonts w:ascii="Arial" w:hAnsi="Arial" w:cs="Arial"/>
                <w:sz w:val="24"/>
                <w:szCs w:val="24"/>
              </w:rPr>
              <w:t>2,</w:t>
            </w:r>
            <w:r w:rsidR="008F0F48" w:rsidRPr="005F53CF">
              <w:rPr>
                <w:rFonts w:ascii="Arial" w:hAnsi="Arial" w:cs="Arial"/>
                <w:sz w:val="24"/>
                <w:szCs w:val="24"/>
              </w:rPr>
              <w:t>169</w:t>
            </w:r>
          </w:p>
        </w:tc>
        <w:tc>
          <w:tcPr>
            <w:tcW w:w="1276" w:type="dxa"/>
            <w:shd w:val="clear" w:color="auto" w:fill="auto"/>
          </w:tcPr>
          <w:p w14:paraId="1BC31583" w14:textId="77777777" w:rsidR="002E3195" w:rsidRPr="005F53CF" w:rsidRDefault="002E3195" w:rsidP="00A60A85">
            <w:pPr>
              <w:spacing w:after="0"/>
              <w:jc w:val="right"/>
              <w:rPr>
                <w:rFonts w:ascii="Arial" w:hAnsi="Arial" w:cs="Arial"/>
                <w:b/>
                <w:sz w:val="24"/>
                <w:szCs w:val="24"/>
                <w:lang w:eastAsia="en-GB"/>
              </w:rPr>
            </w:pPr>
            <w:r w:rsidRPr="005F53CF">
              <w:rPr>
                <w:rFonts w:ascii="Arial" w:hAnsi="Arial" w:cs="Arial"/>
                <w:b/>
                <w:sz w:val="24"/>
                <w:szCs w:val="24"/>
              </w:rPr>
              <w:t>801</w:t>
            </w:r>
          </w:p>
        </w:tc>
        <w:tc>
          <w:tcPr>
            <w:tcW w:w="1276" w:type="dxa"/>
            <w:shd w:val="clear" w:color="auto" w:fill="auto"/>
          </w:tcPr>
          <w:p w14:paraId="261D008F" w14:textId="77777777" w:rsidR="002E3195" w:rsidRPr="005F53CF" w:rsidRDefault="002E3195" w:rsidP="00A60A85">
            <w:pPr>
              <w:spacing w:after="0"/>
              <w:jc w:val="right"/>
              <w:rPr>
                <w:rFonts w:ascii="Arial" w:hAnsi="Arial" w:cs="Arial"/>
                <w:sz w:val="24"/>
                <w:szCs w:val="24"/>
                <w:lang w:eastAsia="en-GB"/>
              </w:rPr>
            </w:pPr>
            <w:r w:rsidRPr="005F53CF">
              <w:rPr>
                <w:rFonts w:ascii="Arial" w:hAnsi="Arial" w:cs="Arial"/>
                <w:sz w:val="24"/>
                <w:szCs w:val="24"/>
              </w:rPr>
              <w:t>848</w:t>
            </w:r>
          </w:p>
        </w:tc>
        <w:tc>
          <w:tcPr>
            <w:tcW w:w="992" w:type="dxa"/>
            <w:shd w:val="clear" w:color="auto" w:fill="auto"/>
          </w:tcPr>
          <w:p w14:paraId="41AB29BE" w14:textId="12C8C78B" w:rsidR="002E3195" w:rsidRPr="005F53CF" w:rsidRDefault="00DF6DB2" w:rsidP="00A60A85">
            <w:pPr>
              <w:spacing w:after="0"/>
              <w:jc w:val="right"/>
              <w:rPr>
                <w:rFonts w:ascii="Arial" w:hAnsi="Arial" w:cs="Arial"/>
                <w:sz w:val="24"/>
                <w:szCs w:val="24"/>
                <w:lang w:eastAsia="en-GB"/>
              </w:rPr>
            </w:pPr>
            <w:r>
              <w:rPr>
                <w:rFonts w:ascii="Arial" w:hAnsi="Arial" w:cs="Arial"/>
                <w:sz w:val="24"/>
                <w:szCs w:val="24"/>
                <w:lang w:eastAsia="en-GB"/>
              </w:rPr>
              <w:t>1,700</w:t>
            </w:r>
          </w:p>
        </w:tc>
        <w:tc>
          <w:tcPr>
            <w:tcW w:w="1417" w:type="dxa"/>
            <w:shd w:val="clear" w:color="auto" w:fill="auto"/>
          </w:tcPr>
          <w:p w14:paraId="5E6D35EA" w14:textId="77777777" w:rsidR="002E3195" w:rsidRPr="005F53CF" w:rsidRDefault="002E3195" w:rsidP="00A60A85">
            <w:pPr>
              <w:spacing w:after="0"/>
              <w:jc w:val="right"/>
              <w:rPr>
                <w:rFonts w:ascii="Arial" w:hAnsi="Arial" w:cs="Arial"/>
                <w:sz w:val="24"/>
                <w:szCs w:val="24"/>
                <w:lang w:eastAsia="en-GB"/>
              </w:rPr>
            </w:pPr>
            <w:r w:rsidRPr="005F53CF">
              <w:rPr>
                <w:rFonts w:ascii="Arial" w:hAnsi="Arial" w:cs="Arial"/>
                <w:sz w:val="24"/>
                <w:szCs w:val="24"/>
              </w:rPr>
              <w:t>7,470</w:t>
            </w:r>
          </w:p>
        </w:tc>
        <w:tc>
          <w:tcPr>
            <w:tcW w:w="1560" w:type="dxa"/>
            <w:shd w:val="clear" w:color="auto" w:fill="auto"/>
          </w:tcPr>
          <w:p w14:paraId="1EBA2E52" w14:textId="77777777" w:rsidR="002E3195" w:rsidRPr="005F53CF" w:rsidRDefault="002E3195" w:rsidP="00A60A85">
            <w:pPr>
              <w:spacing w:after="0"/>
              <w:jc w:val="right"/>
              <w:rPr>
                <w:rFonts w:ascii="Arial" w:hAnsi="Arial" w:cs="Arial"/>
                <w:sz w:val="24"/>
                <w:szCs w:val="24"/>
                <w:lang w:eastAsia="en-GB"/>
              </w:rPr>
            </w:pPr>
            <w:r w:rsidRPr="005F53CF">
              <w:rPr>
                <w:rFonts w:ascii="Arial" w:hAnsi="Arial" w:cs="Arial"/>
                <w:sz w:val="24"/>
                <w:szCs w:val="24"/>
              </w:rPr>
              <w:t>4,576</w:t>
            </w:r>
          </w:p>
        </w:tc>
      </w:tr>
      <w:tr w:rsidR="00DB6B20" w:rsidRPr="005F53CF" w14:paraId="2E8D3146" w14:textId="77777777" w:rsidTr="00AC4A82">
        <w:trPr>
          <w:trHeight w:val="232"/>
        </w:trPr>
        <w:tc>
          <w:tcPr>
            <w:tcW w:w="2410" w:type="dxa"/>
            <w:shd w:val="clear" w:color="auto" w:fill="auto"/>
            <w:noWrap/>
          </w:tcPr>
          <w:p w14:paraId="14A0DEF7" w14:textId="3B9BCFAD" w:rsidR="00DB6B20" w:rsidRPr="005F53CF" w:rsidRDefault="00DF6DB2" w:rsidP="00A60A85">
            <w:pPr>
              <w:spacing w:after="0"/>
              <w:jc w:val="left"/>
              <w:rPr>
                <w:rFonts w:ascii="Arial" w:hAnsi="Arial" w:cs="Arial"/>
                <w:sz w:val="24"/>
                <w:szCs w:val="24"/>
              </w:rPr>
            </w:pPr>
            <w:r>
              <w:rPr>
                <w:rFonts w:ascii="Arial" w:hAnsi="Arial" w:cs="Arial"/>
                <w:sz w:val="24"/>
                <w:szCs w:val="24"/>
              </w:rPr>
              <w:t>Premises with Access to Superfast broadband</w:t>
            </w:r>
          </w:p>
        </w:tc>
        <w:tc>
          <w:tcPr>
            <w:tcW w:w="1276" w:type="dxa"/>
            <w:shd w:val="clear" w:color="auto" w:fill="auto"/>
          </w:tcPr>
          <w:p w14:paraId="7A9673D5" w14:textId="637AF1D1" w:rsidR="00DB6B20" w:rsidRPr="005F53CF" w:rsidRDefault="00DF6DB2" w:rsidP="00A60A85">
            <w:pPr>
              <w:spacing w:after="0"/>
              <w:jc w:val="right"/>
              <w:rPr>
                <w:rFonts w:ascii="Arial" w:hAnsi="Arial" w:cs="Arial"/>
                <w:sz w:val="24"/>
                <w:szCs w:val="24"/>
              </w:rPr>
            </w:pPr>
            <w:r>
              <w:rPr>
                <w:rFonts w:ascii="Arial" w:hAnsi="Arial" w:cs="Arial"/>
                <w:sz w:val="24"/>
                <w:szCs w:val="24"/>
              </w:rPr>
              <w:t>6,776</w:t>
            </w:r>
          </w:p>
        </w:tc>
        <w:tc>
          <w:tcPr>
            <w:tcW w:w="1276" w:type="dxa"/>
            <w:shd w:val="clear" w:color="auto" w:fill="auto"/>
          </w:tcPr>
          <w:p w14:paraId="78E6A4DE" w14:textId="5A5BECFD" w:rsidR="00DB6B20" w:rsidRPr="005F53CF" w:rsidRDefault="00B0337C" w:rsidP="00A60A85">
            <w:pPr>
              <w:spacing w:after="0"/>
              <w:jc w:val="right"/>
              <w:rPr>
                <w:rFonts w:ascii="Arial" w:hAnsi="Arial" w:cs="Arial"/>
                <w:b/>
                <w:sz w:val="24"/>
                <w:szCs w:val="24"/>
              </w:rPr>
            </w:pPr>
            <w:r>
              <w:rPr>
                <w:rFonts w:ascii="Arial" w:hAnsi="Arial" w:cs="Arial"/>
                <w:b/>
                <w:sz w:val="24"/>
                <w:szCs w:val="24"/>
              </w:rPr>
              <w:t>298</w:t>
            </w:r>
          </w:p>
        </w:tc>
        <w:tc>
          <w:tcPr>
            <w:tcW w:w="1276" w:type="dxa"/>
            <w:shd w:val="clear" w:color="auto" w:fill="auto"/>
          </w:tcPr>
          <w:p w14:paraId="434FC778" w14:textId="139F8872" w:rsidR="00DB6B20" w:rsidRPr="005F53CF" w:rsidRDefault="00B0337C" w:rsidP="00B0337C">
            <w:pPr>
              <w:spacing w:after="0"/>
              <w:jc w:val="center"/>
              <w:rPr>
                <w:rFonts w:ascii="Arial" w:hAnsi="Arial" w:cs="Arial"/>
                <w:sz w:val="24"/>
                <w:szCs w:val="24"/>
              </w:rPr>
            </w:pPr>
            <w:r>
              <w:rPr>
                <w:rFonts w:ascii="Arial" w:hAnsi="Arial" w:cs="Arial"/>
                <w:sz w:val="24"/>
                <w:szCs w:val="24"/>
              </w:rPr>
              <w:t>-</w:t>
            </w:r>
          </w:p>
        </w:tc>
        <w:tc>
          <w:tcPr>
            <w:tcW w:w="992" w:type="dxa"/>
            <w:shd w:val="clear" w:color="auto" w:fill="auto"/>
          </w:tcPr>
          <w:p w14:paraId="66A412F2" w14:textId="7E9BD42F" w:rsidR="00DB6B20" w:rsidRPr="005F53CF" w:rsidRDefault="00DF6DB2" w:rsidP="00A60A85">
            <w:pPr>
              <w:spacing w:after="0"/>
              <w:jc w:val="right"/>
              <w:rPr>
                <w:rFonts w:ascii="Arial" w:hAnsi="Arial" w:cs="Arial"/>
                <w:sz w:val="24"/>
                <w:szCs w:val="24"/>
                <w:lang w:eastAsia="en-GB"/>
              </w:rPr>
            </w:pPr>
            <w:r>
              <w:rPr>
                <w:rFonts w:ascii="Arial" w:hAnsi="Arial" w:cs="Arial"/>
                <w:sz w:val="24"/>
                <w:szCs w:val="24"/>
                <w:lang w:eastAsia="en-GB"/>
              </w:rPr>
              <w:t>5,000</w:t>
            </w:r>
          </w:p>
        </w:tc>
        <w:tc>
          <w:tcPr>
            <w:tcW w:w="1417" w:type="dxa"/>
            <w:shd w:val="clear" w:color="auto" w:fill="auto"/>
          </w:tcPr>
          <w:p w14:paraId="3F77AB46" w14:textId="0CAC8AE8" w:rsidR="00DB6B20" w:rsidRPr="005F53CF" w:rsidRDefault="00B0337C" w:rsidP="00A60A85">
            <w:pPr>
              <w:spacing w:after="0"/>
              <w:jc w:val="right"/>
              <w:rPr>
                <w:rFonts w:ascii="Arial" w:hAnsi="Arial" w:cs="Arial"/>
                <w:sz w:val="24"/>
                <w:szCs w:val="24"/>
              </w:rPr>
            </w:pPr>
            <w:r>
              <w:rPr>
                <w:rFonts w:ascii="Arial" w:hAnsi="Arial" w:cs="Arial"/>
                <w:sz w:val="24"/>
                <w:szCs w:val="24"/>
              </w:rPr>
              <w:t>9,171</w:t>
            </w:r>
          </w:p>
        </w:tc>
        <w:tc>
          <w:tcPr>
            <w:tcW w:w="1560" w:type="dxa"/>
            <w:shd w:val="clear" w:color="auto" w:fill="auto"/>
          </w:tcPr>
          <w:p w14:paraId="6CF282B4" w14:textId="2C96454D" w:rsidR="00DB6B20" w:rsidRPr="005F53CF" w:rsidRDefault="00B0337C" w:rsidP="00A60A85">
            <w:pPr>
              <w:spacing w:after="0"/>
              <w:jc w:val="right"/>
              <w:rPr>
                <w:rFonts w:ascii="Arial" w:hAnsi="Arial" w:cs="Arial"/>
                <w:sz w:val="24"/>
                <w:szCs w:val="24"/>
              </w:rPr>
            </w:pPr>
            <w:r>
              <w:rPr>
                <w:rFonts w:ascii="Arial" w:hAnsi="Arial" w:cs="Arial"/>
                <w:sz w:val="24"/>
                <w:szCs w:val="24"/>
              </w:rPr>
              <w:t>5,925</w:t>
            </w:r>
          </w:p>
        </w:tc>
      </w:tr>
      <w:tr w:rsidR="002E3195" w:rsidRPr="005F53CF" w14:paraId="1EC2F588" w14:textId="77777777" w:rsidTr="00AC4A82">
        <w:trPr>
          <w:trHeight w:val="287"/>
        </w:trPr>
        <w:tc>
          <w:tcPr>
            <w:tcW w:w="10207" w:type="dxa"/>
            <w:gridSpan w:val="7"/>
            <w:shd w:val="clear" w:color="auto" w:fill="auto"/>
            <w:noWrap/>
          </w:tcPr>
          <w:p w14:paraId="135AD5A6" w14:textId="4AE2FED0" w:rsidR="002E3195" w:rsidRPr="005F53CF" w:rsidRDefault="002E3195" w:rsidP="005F1753">
            <w:pPr>
              <w:spacing w:after="0"/>
              <w:jc w:val="left"/>
              <w:rPr>
                <w:rFonts w:ascii="Arial" w:hAnsi="Arial" w:cs="Arial"/>
                <w:i/>
                <w:color w:val="000000"/>
                <w:sz w:val="24"/>
                <w:szCs w:val="24"/>
                <w:lang w:eastAsia="en-GB"/>
              </w:rPr>
            </w:pPr>
            <w:r w:rsidRPr="005F53CF">
              <w:rPr>
                <w:rFonts w:ascii="Arial" w:hAnsi="Arial" w:cs="Arial"/>
                <w:i/>
                <w:color w:val="000000"/>
                <w:sz w:val="24"/>
                <w:szCs w:val="24"/>
                <w:lang w:eastAsia="en-GB"/>
              </w:rPr>
              <w:t>Notes: ** including future years beyond 2020-21</w:t>
            </w:r>
          </w:p>
        </w:tc>
      </w:tr>
    </w:tbl>
    <w:p w14:paraId="38522D09" w14:textId="77777777" w:rsidR="002E3195" w:rsidRPr="005F53CF" w:rsidRDefault="002E3195" w:rsidP="002E3195">
      <w:pPr>
        <w:pStyle w:val="Heading7"/>
        <w:numPr>
          <w:ilvl w:val="0"/>
          <w:numId w:val="0"/>
        </w:numPr>
        <w:rPr>
          <w:rFonts w:ascii="Arial" w:hAnsi="Arial" w:cs="Arial"/>
          <w:sz w:val="24"/>
          <w:szCs w:val="24"/>
        </w:rPr>
      </w:pPr>
    </w:p>
    <w:tbl>
      <w:tblPr>
        <w:tblW w:w="10207" w:type="dxa"/>
        <w:tblInd w:w="-34" w:type="dxa"/>
        <w:tblBorders>
          <w:top w:val="single" w:sz="4" w:space="0" w:color="4D6A71"/>
          <w:left w:val="single" w:sz="4" w:space="0" w:color="4D6A71"/>
          <w:bottom w:val="single" w:sz="4" w:space="0" w:color="4D6A71"/>
          <w:right w:val="single" w:sz="4" w:space="0" w:color="4D6A71"/>
          <w:insideH w:val="single" w:sz="4" w:space="0" w:color="4D6A71"/>
          <w:insideV w:val="single" w:sz="4" w:space="0" w:color="4D6A71"/>
        </w:tblBorders>
        <w:tblLook w:val="04A0" w:firstRow="1" w:lastRow="0" w:firstColumn="1" w:lastColumn="0" w:noHBand="0" w:noVBand="1"/>
      </w:tblPr>
      <w:tblGrid>
        <w:gridCol w:w="6692"/>
        <w:gridCol w:w="3515"/>
      </w:tblGrid>
      <w:tr w:rsidR="002E3195" w:rsidRPr="005F53CF" w14:paraId="010B658A" w14:textId="77777777" w:rsidTr="00DF6DB2">
        <w:trPr>
          <w:trHeight w:val="287"/>
        </w:trPr>
        <w:tc>
          <w:tcPr>
            <w:tcW w:w="10207" w:type="dxa"/>
            <w:gridSpan w:val="2"/>
            <w:shd w:val="clear" w:color="auto" w:fill="4D6A71"/>
            <w:noWrap/>
            <w:hideMark/>
          </w:tcPr>
          <w:p w14:paraId="439688D0" w14:textId="77777777" w:rsidR="002E3195" w:rsidRPr="005F53CF" w:rsidRDefault="002E3195" w:rsidP="00A60A85">
            <w:pPr>
              <w:spacing w:after="0"/>
              <w:jc w:val="left"/>
              <w:rPr>
                <w:rFonts w:ascii="Arial" w:hAnsi="Arial" w:cs="Arial"/>
                <w:b/>
                <w:bCs/>
                <w:color w:val="FFFFFF" w:themeColor="background1"/>
                <w:sz w:val="24"/>
                <w:szCs w:val="24"/>
                <w:lang w:eastAsia="en-GB"/>
              </w:rPr>
            </w:pPr>
            <w:r w:rsidRPr="005F53CF">
              <w:rPr>
                <w:rFonts w:ascii="Arial" w:hAnsi="Arial" w:cs="Arial"/>
                <w:b/>
                <w:bCs/>
                <w:color w:val="FFFFFF" w:themeColor="background1"/>
                <w:sz w:val="24"/>
                <w:szCs w:val="24"/>
                <w:lang w:eastAsia="en-GB"/>
              </w:rPr>
              <w:t>Table 3.2:  LGF Spend in Cumbria</w:t>
            </w:r>
          </w:p>
        </w:tc>
      </w:tr>
      <w:tr w:rsidR="002E3195" w:rsidRPr="005F53CF" w14:paraId="6E76FCD2" w14:textId="77777777" w:rsidTr="00DF6DB2">
        <w:trPr>
          <w:trHeight w:val="131"/>
        </w:trPr>
        <w:tc>
          <w:tcPr>
            <w:tcW w:w="6692" w:type="dxa"/>
            <w:shd w:val="clear" w:color="auto" w:fill="auto"/>
            <w:noWrap/>
          </w:tcPr>
          <w:p w14:paraId="2D4307AC" w14:textId="77777777" w:rsidR="002E3195" w:rsidRPr="005F53CF" w:rsidRDefault="002E3195" w:rsidP="00A60A85">
            <w:pPr>
              <w:spacing w:after="0"/>
              <w:jc w:val="left"/>
              <w:rPr>
                <w:rFonts w:ascii="Arial" w:hAnsi="Arial" w:cs="Arial"/>
                <w:sz w:val="24"/>
                <w:szCs w:val="24"/>
                <w:lang w:eastAsia="en-GB"/>
              </w:rPr>
            </w:pPr>
          </w:p>
        </w:tc>
        <w:tc>
          <w:tcPr>
            <w:tcW w:w="3515" w:type="dxa"/>
            <w:shd w:val="clear" w:color="auto" w:fill="auto"/>
          </w:tcPr>
          <w:p w14:paraId="7F8A0F39" w14:textId="77777777" w:rsidR="002E3195" w:rsidRPr="005F53CF" w:rsidRDefault="002E3195" w:rsidP="00AC4A82">
            <w:pPr>
              <w:spacing w:after="0"/>
              <w:jc w:val="right"/>
              <w:rPr>
                <w:rFonts w:ascii="Arial" w:hAnsi="Arial" w:cs="Arial"/>
                <w:sz w:val="24"/>
                <w:szCs w:val="24"/>
                <w:lang w:eastAsia="en-GB"/>
              </w:rPr>
            </w:pPr>
            <w:r w:rsidRPr="005F53CF">
              <w:rPr>
                <w:rFonts w:ascii="Arial" w:hAnsi="Arial" w:cs="Arial"/>
                <w:sz w:val="24"/>
                <w:szCs w:val="24"/>
                <w:lang w:eastAsia="en-GB"/>
              </w:rPr>
              <w:t xml:space="preserve">£ms </w:t>
            </w:r>
          </w:p>
        </w:tc>
      </w:tr>
      <w:tr w:rsidR="002E3195" w:rsidRPr="005F53CF" w14:paraId="5D832CEA" w14:textId="77777777" w:rsidTr="00DF6DB2">
        <w:trPr>
          <w:trHeight w:val="85"/>
        </w:trPr>
        <w:tc>
          <w:tcPr>
            <w:tcW w:w="6692" w:type="dxa"/>
            <w:shd w:val="clear" w:color="auto" w:fill="auto"/>
            <w:noWrap/>
          </w:tcPr>
          <w:p w14:paraId="65CDF74D" w14:textId="77777777" w:rsidR="002E3195" w:rsidRPr="005F53CF" w:rsidRDefault="002E3195" w:rsidP="00A60A85">
            <w:pPr>
              <w:spacing w:after="0"/>
              <w:jc w:val="left"/>
              <w:rPr>
                <w:rFonts w:ascii="Arial" w:hAnsi="Arial" w:cs="Arial"/>
                <w:sz w:val="24"/>
                <w:szCs w:val="24"/>
                <w:lang w:eastAsia="en-GB"/>
              </w:rPr>
            </w:pPr>
            <w:r w:rsidRPr="005F53CF">
              <w:rPr>
                <w:rFonts w:ascii="Arial" w:hAnsi="Arial" w:cs="Arial"/>
                <w:sz w:val="24"/>
                <w:szCs w:val="24"/>
              </w:rPr>
              <w:t>Total Funding Approved</w:t>
            </w:r>
          </w:p>
        </w:tc>
        <w:tc>
          <w:tcPr>
            <w:tcW w:w="3515" w:type="dxa"/>
            <w:shd w:val="clear" w:color="auto" w:fill="auto"/>
          </w:tcPr>
          <w:p w14:paraId="29953E49" w14:textId="77777777" w:rsidR="002E3195" w:rsidRPr="005F53CF" w:rsidRDefault="002E3195" w:rsidP="00A60A85">
            <w:pPr>
              <w:spacing w:after="0"/>
              <w:jc w:val="right"/>
              <w:rPr>
                <w:rFonts w:ascii="Arial" w:hAnsi="Arial" w:cs="Arial"/>
                <w:sz w:val="24"/>
                <w:szCs w:val="24"/>
                <w:lang w:eastAsia="en-GB"/>
              </w:rPr>
            </w:pPr>
            <w:r w:rsidRPr="005F53CF">
              <w:rPr>
                <w:rFonts w:ascii="Arial" w:hAnsi="Arial" w:cs="Arial"/>
                <w:sz w:val="24"/>
                <w:szCs w:val="24"/>
              </w:rPr>
              <w:t>£60.32</w:t>
            </w:r>
          </w:p>
        </w:tc>
      </w:tr>
      <w:tr w:rsidR="002E3195" w:rsidRPr="005F53CF" w14:paraId="34597D7D" w14:textId="77777777" w:rsidTr="00DF6DB2">
        <w:trPr>
          <w:trHeight w:val="85"/>
        </w:trPr>
        <w:tc>
          <w:tcPr>
            <w:tcW w:w="6692" w:type="dxa"/>
            <w:shd w:val="clear" w:color="auto" w:fill="auto"/>
            <w:noWrap/>
          </w:tcPr>
          <w:p w14:paraId="0C5F0845" w14:textId="77777777" w:rsidR="002E3195" w:rsidRPr="005F53CF" w:rsidRDefault="002E3195" w:rsidP="00A60A85">
            <w:pPr>
              <w:spacing w:after="0"/>
              <w:jc w:val="left"/>
              <w:rPr>
                <w:rFonts w:ascii="Arial" w:hAnsi="Arial" w:cs="Arial"/>
                <w:sz w:val="24"/>
                <w:szCs w:val="24"/>
                <w:lang w:eastAsia="en-GB"/>
              </w:rPr>
            </w:pPr>
            <w:r w:rsidRPr="005F53CF">
              <w:rPr>
                <w:rFonts w:ascii="Arial" w:hAnsi="Arial" w:cs="Arial"/>
                <w:sz w:val="24"/>
                <w:szCs w:val="24"/>
              </w:rPr>
              <w:t>Spend to end 2017/18</w:t>
            </w:r>
          </w:p>
        </w:tc>
        <w:tc>
          <w:tcPr>
            <w:tcW w:w="3515" w:type="dxa"/>
            <w:shd w:val="clear" w:color="auto" w:fill="auto"/>
          </w:tcPr>
          <w:p w14:paraId="34CCEAD3" w14:textId="77777777" w:rsidR="002E3195" w:rsidRPr="005F53CF" w:rsidRDefault="002E3195" w:rsidP="00A60A85">
            <w:pPr>
              <w:spacing w:after="0"/>
              <w:jc w:val="right"/>
              <w:rPr>
                <w:rFonts w:ascii="Arial" w:hAnsi="Arial" w:cs="Arial"/>
                <w:sz w:val="24"/>
                <w:szCs w:val="24"/>
                <w:lang w:eastAsia="en-GB"/>
              </w:rPr>
            </w:pPr>
            <w:r w:rsidRPr="005F53CF">
              <w:rPr>
                <w:rFonts w:ascii="Arial" w:hAnsi="Arial" w:cs="Arial"/>
                <w:sz w:val="24"/>
                <w:szCs w:val="24"/>
              </w:rPr>
              <w:t>£35.75</w:t>
            </w:r>
          </w:p>
        </w:tc>
      </w:tr>
      <w:tr w:rsidR="002E3195" w:rsidRPr="005F53CF" w14:paraId="2565982C" w14:textId="77777777" w:rsidTr="00DF6DB2">
        <w:trPr>
          <w:trHeight w:val="232"/>
        </w:trPr>
        <w:tc>
          <w:tcPr>
            <w:tcW w:w="6692" w:type="dxa"/>
            <w:shd w:val="clear" w:color="auto" w:fill="auto"/>
            <w:noWrap/>
          </w:tcPr>
          <w:p w14:paraId="68300045" w14:textId="01565153" w:rsidR="002E3195" w:rsidRPr="005F53CF" w:rsidRDefault="007642BF" w:rsidP="005F1753">
            <w:pPr>
              <w:spacing w:after="0"/>
              <w:jc w:val="left"/>
              <w:rPr>
                <w:rFonts w:ascii="Arial" w:hAnsi="Arial" w:cs="Arial"/>
                <w:sz w:val="24"/>
                <w:szCs w:val="24"/>
                <w:lang w:eastAsia="en-GB"/>
              </w:rPr>
            </w:pPr>
            <w:r w:rsidRPr="005F53CF">
              <w:rPr>
                <w:rFonts w:ascii="Arial" w:hAnsi="Arial" w:cs="Arial"/>
                <w:sz w:val="24"/>
                <w:szCs w:val="24"/>
              </w:rPr>
              <w:t>F</w:t>
            </w:r>
            <w:r w:rsidR="002E3195" w:rsidRPr="005F53CF">
              <w:rPr>
                <w:rFonts w:ascii="Arial" w:hAnsi="Arial" w:cs="Arial"/>
                <w:sz w:val="24"/>
                <w:szCs w:val="24"/>
              </w:rPr>
              <w:t>inal spend 2018/19</w:t>
            </w:r>
          </w:p>
        </w:tc>
        <w:tc>
          <w:tcPr>
            <w:tcW w:w="3515" w:type="dxa"/>
            <w:shd w:val="clear" w:color="auto" w:fill="auto"/>
          </w:tcPr>
          <w:p w14:paraId="14874B6F" w14:textId="77777777" w:rsidR="002E3195" w:rsidRPr="005F53CF" w:rsidRDefault="002E3195" w:rsidP="00A60A85">
            <w:pPr>
              <w:spacing w:after="0"/>
              <w:jc w:val="right"/>
              <w:rPr>
                <w:rFonts w:ascii="Arial" w:hAnsi="Arial" w:cs="Arial"/>
                <w:sz w:val="24"/>
                <w:szCs w:val="24"/>
                <w:lang w:eastAsia="en-GB"/>
              </w:rPr>
            </w:pPr>
            <w:r w:rsidRPr="005F53CF">
              <w:rPr>
                <w:rFonts w:ascii="Arial" w:hAnsi="Arial" w:cs="Arial"/>
                <w:sz w:val="24"/>
                <w:szCs w:val="24"/>
              </w:rPr>
              <w:t>£6.06</w:t>
            </w:r>
          </w:p>
        </w:tc>
      </w:tr>
      <w:tr w:rsidR="002E3195" w:rsidRPr="005F53CF" w14:paraId="28CBE738" w14:textId="77777777" w:rsidTr="00DF6DB2">
        <w:trPr>
          <w:trHeight w:val="232"/>
        </w:trPr>
        <w:tc>
          <w:tcPr>
            <w:tcW w:w="6692" w:type="dxa"/>
            <w:shd w:val="clear" w:color="auto" w:fill="auto"/>
            <w:noWrap/>
          </w:tcPr>
          <w:p w14:paraId="698720AA" w14:textId="77777777" w:rsidR="002E3195" w:rsidRPr="005F53CF" w:rsidRDefault="002E3195" w:rsidP="00A60A85">
            <w:pPr>
              <w:spacing w:after="0"/>
              <w:jc w:val="left"/>
              <w:rPr>
                <w:rFonts w:ascii="Arial" w:hAnsi="Arial" w:cs="Arial"/>
                <w:b/>
                <w:sz w:val="24"/>
                <w:szCs w:val="24"/>
                <w:lang w:eastAsia="en-GB"/>
              </w:rPr>
            </w:pPr>
            <w:r w:rsidRPr="005F53CF">
              <w:rPr>
                <w:rFonts w:ascii="Arial" w:hAnsi="Arial" w:cs="Arial"/>
                <w:b/>
                <w:sz w:val="24"/>
                <w:szCs w:val="24"/>
              </w:rPr>
              <w:t>2019/20</w:t>
            </w:r>
          </w:p>
        </w:tc>
        <w:tc>
          <w:tcPr>
            <w:tcW w:w="3515" w:type="dxa"/>
            <w:shd w:val="clear" w:color="auto" w:fill="auto"/>
          </w:tcPr>
          <w:p w14:paraId="7FFD0593" w14:textId="77777777" w:rsidR="002E3195" w:rsidRPr="005F53CF" w:rsidRDefault="002E3195" w:rsidP="00A60A85">
            <w:pPr>
              <w:spacing w:after="0"/>
              <w:jc w:val="right"/>
              <w:rPr>
                <w:rFonts w:ascii="Arial" w:hAnsi="Arial" w:cs="Arial"/>
                <w:b/>
                <w:sz w:val="24"/>
                <w:szCs w:val="24"/>
                <w:lang w:eastAsia="en-GB"/>
              </w:rPr>
            </w:pPr>
            <w:r w:rsidRPr="005F53CF">
              <w:rPr>
                <w:rFonts w:ascii="Arial" w:hAnsi="Arial" w:cs="Arial"/>
                <w:b/>
                <w:sz w:val="24"/>
                <w:szCs w:val="24"/>
              </w:rPr>
              <w:t>£6.82</w:t>
            </w:r>
          </w:p>
        </w:tc>
      </w:tr>
      <w:tr w:rsidR="002E3195" w:rsidRPr="005F53CF" w14:paraId="0ED079F4" w14:textId="77777777" w:rsidTr="00DF6DB2">
        <w:trPr>
          <w:trHeight w:val="232"/>
        </w:trPr>
        <w:tc>
          <w:tcPr>
            <w:tcW w:w="6692" w:type="dxa"/>
            <w:shd w:val="clear" w:color="auto" w:fill="auto"/>
            <w:noWrap/>
          </w:tcPr>
          <w:p w14:paraId="31720AEA" w14:textId="77777777" w:rsidR="002E3195" w:rsidRPr="005F53CF" w:rsidRDefault="002E3195" w:rsidP="00A60A85">
            <w:pPr>
              <w:spacing w:after="0"/>
              <w:jc w:val="left"/>
              <w:rPr>
                <w:rFonts w:ascii="Arial" w:hAnsi="Arial" w:cs="Arial"/>
                <w:sz w:val="24"/>
                <w:szCs w:val="24"/>
                <w:lang w:eastAsia="en-GB"/>
              </w:rPr>
            </w:pPr>
            <w:r w:rsidRPr="005F53CF">
              <w:rPr>
                <w:rFonts w:ascii="Arial" w:hAnsi="Arial" w:cs="Arial"/>
                <w:sz w:val="24"/>
                <w:szCs w:val="24"/>
              </w:rPr>
              <w:t>2020/21</w:t>
            </w:r>
          </w:p>
        </w:tc>
        <w:tc>
          <w:tcPr>
            <w:tcW w:w="3515" w:type="dxa"/>
            <w:shd w:val="clear" w:color="auto" w:fill="auto"/>
          </w:tcPr>
          <w:p w14:paraId="7F1975FD" w14:textId="77777777" w:rsidR="002E3195" w:rsidRPr="005F53CF" w:rsidRDefault="002E3195" w:rsidP="00A60A85">
            <w:pPr>
              <w:spacing w:after="0"/>
              <w:jc w:val="right"/>
              <w:rPr>
                <w:rFonts w:ascii="Arial" w:hAnsi="Arial" w:cs="Arial"/>
                <w:sz w:val="24"/>
                <w:szCs w:val="24"/>
                <w:lang w:eastAsia="en-GB"/>
              </w:rPr>
            </w:pPr>
            <w:r w:rsidRPr="005F53CF">
              <w:rPr>
                <w:rFonts w:ascii="Arial" w:hAnsi="Arial" w:cs="Arial"/>
                <w:sz w:val="24"/>
                <w:szCs w:val="24"/>
              </w:rPr>
              <w:t>£11.69</w:t>
            </w:r>
          </w:p>
        </w:tc>
      </w:tr>
    </w:tbl>
    <w:p w14:paraId="01F2FBEC" w14:textId="590B4762" w:rsidR="007642BF" w:rsidRPr="005F53CF" w:rsidRDefault="00BA633D" w:rsidP="00D47CCA">
      <w:pPr>
        <w:pStyle w:val="Heading5"/>
        <w:rPr>
          <w:rFonts w:ascii="Arial" w:hAnsi="Arial" w:cs="Arial"/>
          <w:sz w:val="24"/>
          <w:szCs w:val="24"/>
        </w:rPr>
      </w:pPr>
      <w:r w:rsidRPr="005F53CF">
        <w:rPr>
          <w:rFonts w:ascii="Arial" w:hAnsi="Arial" w:cs="Arial"/>
          <w:sz w:val="24"/>
          <w:szCs w:val="24"/>
        </w:rPr>
        <w:t>The momentum on programme delivery continues into Quarter 1 of 19/20</w:t>
      </w:r>
      <w:r w:rsidR="00AC4A82">
        <w:rPr>
          <w:rFonts w:ascii="Arial" w:hAnsi="Arial" w:cs="Arial"/>
          <w:sz w:val="24"/>
          <w:szCs w:val="24"/>
        </w:rPr>
        <w:t xml:space="preserve">, </w:t>
      </w:r>
      <w:r w:rsidR="00774231">
        <w:rPr>
          <w:rFonts w:ascii="Arial" w:hAnsi="Arial" w:cs="Arial"/>
          <w:sz w:val="24"/>
          <w:szCs w:val="24"/>
        </w:rPr>
        <w:t xml:space="preserve">with </w:t>
      </w:r>
      <w:r w:rsidR="00774231" w:rsidRPr="005F53CF">
        <w:rPr>
          <w:rFonts w:ascii="Arial" w:hAnsi="Arial" w:cs="Arial"/>
          <w:sz w:val="24"/>
          <w:szCs w:val="24"/>
        </w:rPr>
        <w:t>£</w:t>
      </w:r>
      <w:r w:rsidRPr="005F53CF">
        <w:rPr>
          <w:rFonts w:ascii="Arial" w:hAnsi="Arial" w:cs="Arial"/>
          <w:sz w:val="24"/>
          <w:szCs w:val="24"/>
        </w:rPr>
        <w:t xml:space="preserve">3.2m of grant </w:t>
      </w:r>
      <w:r w:rsidR="00AC4A82">
        <w:rPr>
          <w:rFonts w:ascii="Arial" w:hAnsi="Arial" w:cs="Arial"/>
          <w:sz w:val="24"/>
          <w:szCs w:val="24"/>
        </w:rPr>
        <w:t xml:space="preserve">expenditure </w:t>
      </w:r>
      <w:r w:rsidRPr="005F53CF">
        <w:rPr>
          <w:rFonts w:ascii="Arial" w:hAnsi="Arial" w:cs="Arial"/>
          <w:sz w:val="24"/>
          <w:szCs w:val="24"/>
        </w:rPr>
        <w:t>forecast</w:t>
      </w:r>
      <w:r w:rsidR="00AC4A82">
        <w:rPr>
          <w:rFonts w:ascii="Arial" w:hAnsi="Arial" w:cs="Arial"/>
          <w:sz w:val="24"/>
          <w:szCs w:val="24"/>
        </w:rPr>
        <w:t xml:space="preserve">ed to be claimed </w:t>
      </w:r>
      <w:r w:rsidRPr="005F53CF">
        <w:rPr>
          <w:rFonts w:ascii="Arial" w:hAnsi="Arial" w:cs="Arial"/>
          <w:sz w:val="24"/>
          <w:szCs w:val="24"/>
        </w:rPr>
        <w:t xml:space="preserve">from Connecting Cumbria, Carlisle Airport, Project Ark and SIS. This equates to 47% of the Offer Letter target for 19/20. </w:t>
      </w:r>
    </w:p>
    <w:p w14:paraId="1A8E2BBB" w14:textId="7395C17C" w:rsidR="00EA2705" w:rsidRPr="005F53CF" w:rsidRDefault="006377C7" w:rsidP="00D47CCA">
      <w:pPr>
        <w:pStyle w:val="Heading5"/>
        <w:rPr>
          <w:rFonts w:ascii="Arial" w:hAnsi="Arial" w:cs="Arial"/>
          <w:sz w:val="24"/>
          <w:szCs w:val="24"/>
        </w:rPr>
      </w:pPr>
      <w:r w:rsidRPr="005F53CF">
        <w:rPr>
          <w:rFonts w:ascii="Arial" w:hAnsi="Arial" w:cs="Arial"/>
          <w:sz w:val="24"/>
          <w:szCs w:val="24"/>
        </w:rPr>
        <w:t xml:space="preserve">Those projects where </w:t>
      </w:r>
      <w:r w:rsidRPr="005F53CF">
        <w:rPr>
          <w:rFonts w:ascii="Arial" w:hAnsi="Arial" w:cs="Arial"/>
          <w:b/>
          <w:sz w:val="24"/>
          <w:szCs w:val="24"/>
        </w:rPr>
        <w:t>spend</w:t>
      </w:r>
      <w:r w:rsidRPr="005F53CF">
        <w:rPr>
          <w:rFonts w:ascii="Arial" w:hAnsi="Arial" w:cs="Arial"/>
          <w:sz w:val="24"/>
          <w:szCs w:val="24"/>
        </w:rPr>
        <w:t xml:space="preserve"> is expected to </w:t>
      </w:r>
      <w:r w:rsidR="00AB7499" w:rsidRPr="005F53CF">
        <w:rPr>
          <w:rFonts w:ascii="Arial" w:hAnsi="Arial" w:cs="Arial"/>
          <w:sz w:val="24"/>
          <w:szCs w:val="24"/>
        </w:rPr>
        <w:t xml:space="preserve">be </w:t>
      </w:r>
      <w:r w:rsidRPr="005F53CF">
        <w:rPr>
          <w:rFonts w:ascii="Arial" w:hAnsi="Arial" w:cs="Arial"/>
          <w:sz w:val="24"/>
          <w:szCs w:val="24"/>
        </w:rPr>
        <w:t>incur</w:t>
      </w:r>
      <w:r w:rsidR="00E422A3">
        <w:rPr>
          <w:rFonts w:ascii="Arial" w:hAnsi="Arial" w:cs="Arial"/>
          <w:sz w:val="24"/>
          <w:szCs w:val="24"/>
        </w:rPr>
        <w:t>red</w:t>
      </w:r>
      <w:r w:rsidRPr="005F53CF">
        <w:rPr>
          <w:rFonts w:ascii="Arial" w:hAnsi="Arial" w:cs="Arial"/>
          <w:sz w:val="24"/>
          <w:szCs w:val="24"/>
        </w:rPr>
        <w:t xml:space="preserve"> in 2019/20 are:</w:t>
      </w:r>
    </w:p>
    <w:p w14:paraId="0C42E886" w14:textId="0EDD47DF" w:rsidR="003F126F" w:rsidRPr="005F53CF" w:rsidRDefault="003F126F" w:rsidP="003F126F">
      <w:pPr>
        <w:pStyle w:val="Heading7"/>
        <w:rPr>
          <w:rFonts w:ascii="Arial" w:hAnsi="Arial" w:cs="Arial"/>
          <w:sz w:val="24"/>
          <w:szCs w:val="24"/>
        </w:rPr>
      </w:pPr>
      <w:r w:rsidRPr="005F53CF">
        <w:rPr>
          <w:rFonts w:ascii="Arial" w:hAnsi="Arial" w:cs="Arial"/>
          <w:b/>
          <w:sz w:val="24"/>
          <w:szCs w:val="24"/>
        </w:rPr>
        <w:t>Kendal Transport Infrastructure</w:t>
      </w:r>
      <w:r w:rsidR="000A27A0" w:rsidRPr="005F53CF">
        <w:rPr>
          <w:rFonts w:ascii="Arial" w:hAnsi="Arial" w:cs="Arial"/>
          <w:b/>
          <w:sz w:val="24"/>
          <w:szCs w:val="24"/>
        </w:rPr>
        <w:t xml:space="preserve"> improvements</w:t>
      </w:r>
      <w:r w:rsidRPr="005F53CF">
        <w:rPr>
          <w:rFonts w:ascii="Arial" w:hAnsi="Arial" w:cs="Arial"/>
          <w:sz w:val="24"/>
          <w:szCs w:val="24"/>
        </w:rPr>
        <w:t xml:space="preserve">, </w:t>
      </w:r>
      <w:r w:rsidR="000A27A0" w:rsidRPr="005F53CF">
        <w:rPr>
          <w:rFonts w:ascii="Arial" w:hAnsi="Arial" w:cs="Arial"/>
          <w:sz w:val="24"/>
          <w:szCs w:val="24"/>
        </w:rPr>
        <w:t xml:space="preserve">this is being delivered by </w:t>
      </w:r>
      <w:r w:rsidRPr="005F53CF">
        <w:rPr>
          <w:rFonts w:ascii="Arial" w:hAnsi="Arial" w:cs="Arial"/>
          <w:sz w:val="24"/>
          <w:szCs w:val="24"/>
        </w:rPr>
        <w:t>Cumbria County Council</w:t>
      </w:r>
      <w:r w:rsidR="000A27A0" w:rsidRPr="005F53CF">
        <w:rPr>
          <w:rFonts w:ascii="Arial" w:hAnsi="Arial" w:cs="Arial"/>
          <w:sz w:val="24"/>
          <w:szCs w:val="24"/>
        </w:rPr>
        <w:t xml:space="preserve"> and 2019/20 will see the completion of this £</w:t>
      </w:r>
      <w:r w:rsidRPr="005F53CF">
        <w:rPr>
          <w:rFonts w:ascii="Arial" w:hAnsi="Arial" w:cs="Arial"/>
          <w:sz w:val="24"/>
          <w:szCs w:val="24"/>
        </w:rPr>
        <w:t xml:space="preserve">2,300,000 </w:t>
      </w:r>
      <w:r w:rsidR="000A27A0" w:rsidRPr="005F53CF">
        <w:rPr>
          <w:rFonts w:ascii="Arial" w:hAnsi="Arial" w:cs="Arial"/>
          <w:sz w:val="24"/>
          <w:szCs w:val="24"/>
        </w:rPr>
        <w:t xml:space="preserve">package of works. The transport improvements to roads and cycle infrastructure </w:t>
      </w:r>
      <w:r w:rsidR="00AB7499" w:rsidRPr="005F53CF">
        <w:rPr>
          <w:rFonts w:ascii="Arial" w:hAnsi="Arial" w:cs="Arial"/>
          <w:sz w:val="24"/>
          <w:szCs w:val="24"/>
        </w:rPr>
        <w:t xml:space="preserve">will </w:t>
      </w:r>
      <w:r w:rsidR="000A27A0" w:rsidRPr="005F53CF">
        <w:rPr>
          <w:rFonts w:ascii="Arial" w:hAnsi="Arial" w:cs="Arial"/>
          <w:sz w:val="24"/>
          <w:szCs w:val="24"/>
        </w:rPr>
        <w:t>support the delivery of a further 115 new homes in 2019/20 (after 408 in 2018/19) and eventually up to 12 hectares of new employment land</w:t>
      </w:r>
      <w:r w:rsidR="00AB7499" w:rsidRPr="005F53CF">
        <w:rPr>
          <w:rFonts w:ascii="Arial" w:hAnsi="Arial" w:cs="Arial"/>
          <w:sz w:val="24"/>
          <w:szCs w:val="24"/>
        </w:rPr>
        <w:t>.</w:t>
      </w:r>
    </w:p>
    <w:p w14:paraId="738C8868" w14:textId="0083635F" w:rsidR="003F126F" w:rsidRPr="005F53CF" w:rsidRDefault="003F126F" w:rsidP="003F126F">
      <w:pPr>
        <w:pStyle w:val="Heading7"/>
        <w:rPr>
          <w:rFonts w:ascii="Arial" w:hAnsi="Arial" w:cs="Arial"/>
          <w:sz w:val="24"/>
          <w:szCs w:val="24"/>
        </w:rPr>
      </w:pPr>
      <w:r w:rsidRPr="005F53CF">
        <w:rPr>
          <w:rFonts w:ascii="Arial" w:hAnsi="Arial" w:cs="Arial"/>
          <w:b/>
          <w:sz w:val="24"/>
          <w:szCs w:val="24"/>
        </w:rPr>
        <w:t>Connecting Cumbria</w:t>
      </w:r>
      <w:r w:rsidRPr="005F53CF">
        <w:rPr>
          <w:rFonts w:ascii="Arial" w:hAnsi="Arial" w:cs="Arial"/>
          <w:sz w:val="24"/>
          <w:szCs w:val="24"/>
        </w:rPr>
        <w:t xml:space="preserve"> the project to support the roll out of superfast broadband is being delivered </w:t>
      </w:r>
      <w:r w:rsidR="0009652C">
        <w:rPr>
          <w:rFonts w:ascii="Arial" w:hAnsi="Arial" w:cs="Arial"/>
          <w:sz w:val="24"/>
          <w:szCs w:val="24"/>
        </w:rPr>
        <w:t>by</w:t>
      </w:r>
      <w:r w:rsidR="0009652C" w:rsidRPr="005F53CF">
        <w:rPr>
          <w:rFonts w:ascii="Arial" w:hAnsi="Arial" w:cs="Arial"/>
          <w:sz w:val="24"/>
          <w:szCs w:val="24"/>
        </w:rPr>
        <w:t xml:space="preserve"> </w:t>
      </w:r>
      <w:r w:rsidRPr="005F53CF">
        <w:rPr>
          <w:rFonts w:ascii="Arial" w:hAnsi="Arial" w:cs="Arial"/>
          <w:sz w:val="24"/>
          <w:szCs w:val="24"/>
        </w:rPr>
        <w:t>Cumbria County Council</w:t>
      </w:r>
      <w:r w:rsidR="0009652C">
        <w:rPr>
          <w:rFonts w:ascii="Arial" w:hAnsi="Arial" w:cs="Arial"/>
          <w:sz w:val="24"/>
          <w:szCs w:val="24"/>
        </w:rPr>
        <w:t xml:space="preserve">. </w:t>
      </w:r>
      <w:r w:rsidRPr="005F53CF">
        <w:rPr>
          <w:rFonts w:ascii="Arial" w:hAnsi="Arial" w:cs="Arial"/>
          <w:sz w:val="24"/>
          <w:szCs w:val="24"/>
        </w:rPr>
        <w:t xml:space="preserve">This project is live and of the total £3,600,000 allocation the final element of £1,578,196 is forecast to be spent in 2019/20. </w:t>
      </w:r>
      <w:r w:rsidR="00232903">
        <w:rPr>
          <w:rFonts w:ascii="Arial" w:hAnsi="Arial" w:cs="Arial"/>
          <w:sz w:val="24"/>
          <w:szCs w:val="24"/>
        </w:rPr>
        <w:t xml:space="preserve">Connecting Cumbria has exceeded </w:t>
      </w:r>
      <w:r w:rsidR="00C8008A">
        <w:rPr>
          <w:rFonts w:ascii="Arial" w:hAnsi="Arial" w:cs="Arial"/>
          <w:sz w:val="24"/>
          <w:szCs w:val="24"/>
        </w:rPr>
        <w:t xml:space="preserve">its output target, ensuring that </w:t>
      </w:r>
      <w:r w:rsidR="00646536">
        <w:rPr>
          <w:rFonts w:ascii="Arial" w:hAnsi="Arial" w:cs="Arial"/>
          <w:sz w:val="24"/>
          <w:szCs w:val="24"/>
        </w:rPr>
        <w:t xml:space="preserve">CLEP has already achieved its Growth Deal target of 5,000 premises with access to superfast broadband.  </w:t>
      </w:r>
      <w:r w:rsidR="00882895">
        <w:rPr>
          <w:rFonts w:ascii="Arial" w:hAnsi="Arial" w:cs="Arial"/>
          <w:sz w:val="24"/>
          <w:szCs w:val="24"/>
        </w:rPr>
        <w:t xml:space="preserve">The project is currently forecasting that </w:t>
      </w:r>
      <w:r w:rsidRPr="005F53CF">
        <w:rPr>
          <w:rFonts w:ascii="Arial" w:hAnsi="Arial" w:cs="Arial"/>
          <w:sz w:val="24"/>
          <w:szCs w:val="24"/>
        </w:rPr>
        <w:t>9,</w:t>
      </w:r>
      <w:r w:rsidR="00AC4A82">
        <w:rPr>
          <w:rFonts w:ascii="Arial" w:hAnsi="Arial" w:cs="Arial"/>
          <w:sz w:val="24"/>
          <w:szCs w:val="24"/>
        </w:rPr>
        <w:t>1</w:t>
      </w:r>
      <w:r w:rsidRPr="005F53CF">
        <w:rPr>
          <w:rFonts w:ascii="Arial" w:hAnsi="Arial" w:cs="Arial"/>
          <w:sz w:val="24"/>
          <w:szCs w:val="24"/>
        </w:rPr>
        <w:t xml:space="preserve">00 </w:t>
      </w:r>
      <w:r w:rsidR="000A27A0" w:rsidRPr="005F53CF">
        <w:rPr>
          <w:rFonts w:ascii="Arial" w:hAnsi="Arial" w:cs="Arial"/>
          <w:sz w:val="24"/>
          <w:szCs w:val="24"/>
        </w:rPr>
        <w:t>premises</w:t>
      </w:r>
      <w:r w:rsidRPr="005F53CF">
        <w:rPr>
          <w:rFonts w:ascii="Arial" w:hAnsi="Arial" w:cs="Arial"/>
          <w:sz w:val="24"/>
          <w:szCs w:val="24"/>
        </w:rPr>
        <w:t xml:space="preserve"> </w:t>
      </w:r>
      <w:r w:rsidR="00882895">
        <w:rPr>
          <w:rFonts w:ascii="Arial" w:hAnsi="Arial" w:cs="Arial"/>
          <w:sz w:val="24"/>
          <w:szCs w:val="24"/>
        </w:rPr>
        <w:t xml:space="preserve">will have </w:t>
      </w:r>
      <w:r w:rsidRPr="005F53CF">
        <w:rPr>
          <w:rFonts w:ascii="Arial" w:hAnsi="Arial" w:cs="Arial"/>
          <w:sz w:val="24"/>
          <w:szCs w:val="24"/>
        </w:rPr>
        <w:t>access to superfast broadband</w:t>
      </w:r>
      <w:r w:rsidR="00882895">
        <w:rPr>
          <w:rFonts w:ascii="Arial" w:hAnsi="Arial" w:cs="Arial"/>
          <w:sz w:val="24"/>
          <w:szCs w:val="24"/>
        </w:rPr>
        <w:t xml:space="preserve"> upon its completion</w:t>
      </w:r>
      <w:r w:rsidRPr="005F53CF">
        <w:rPr>
          <w:rFonts w:ascii="Arial" w:hAnsi="Arial" w:cs="Arial"/>
          <w:sz w:val="24"/>
          <w:szCs w:val="24"/>
        </w:rPr>
        <w:t xml:space="preserve">. </w:t>
      </w:r>
    </w:p>
    <w:p w14:paraId="1C1B16FB" w14:textId="2C782F11" w:rsidR="003F126F" w:rsidRPr="005F53CF" w:rsidRDefault="00F92DCB" w:rsidP="003F126F">
      <w:pPr>
        <w:pStyle w:val="Heading7"/>
        <w:rPr>
          <w:rFonts w:ascii="Arial" w:hAnsi="Arial" w:cs="Arial"/>
          <w:sz w:val="24"/>
          <w:szCs w:val="24"/>
        </w:rPr>
      </w:pPr>
      <w:r w:rsidRPr="005F53CF">
        <w:rPr>
          <w:rFonts w:ascii="Arial" w:hAnsi="Arial" w:cs="Arial"/>
          <w:b/>
          <w:sz w:val="24"/>
          <w:szCs w:val="24"/>
        </w:rPr>
        <w:t>North Shore</w:t>
      </w:r>
      <w:r w:rsidR="003F126F" w:rsidRPr="005F53CF">
        <w:rPr>
          <w:rFonts w:ascii="Arial" w:hAnsi="Arial" w:cs="Arial"/>
          <w:sz w:val="24"/>
          <w:szCs w:val="24"/>
        </w:rPr>
        <w:t xml:space="preserve"> </w:t>
      </w:r>
      <w:r w:rsidR="001B0A9F" w:rsidRPr="005F53CF">
        <w:rPr>
          <w:rFonts w:ascii="Arial" w:hAnsi="Arial" w:cs="Arial"/>
          <w:sz w:val="24"/>
          <w:szCs w:val="24"/>
        </w:rPr>
        <w:t xml:space="preserve">in </w:t>
      </w:r>
      <w:r w:rsidR="003F126F" w:rsidRPr="005F53CF">
        <w:rPr>
          <w:rFonts w:ascii="Arial" w:hAnsi="Arial" w:cs="Arial"/>
          <w:sz w:val="24"/>
          <w:szCs w:val="24"/>
        </w:rPr>
        <w:t>Whitehaven</w:t>
      </w:r>
      <w:r w:rsidR="00AC4A82">
        <w:rPr>
          <w:rFonts w:ascii="Arial" w:hAnsi="Arial" w:cs="Arial"/>
          <w:sz w:val="24"/>
          <w:szCs w:val="24"/>
        </w:rPr>
        <w:t xml:space="preserve">, </w:t>
      </w:r>
      <w:r w:rsidR="001B0A9F" w:rsidRPr="005F53CF">
        <w:rPr>
          <w:rFonts w:ascii="Arial" w:hAnsi="Arial" w:cs="Arial"/>
          <w:sz w:val="24"/>
          <w:szCs w:val="24"/>
        </w:rPr>
        <w:t xml:space="preserve">Copeland is being delivered by </w:t>
      </w:r>
      <w:r w:rsidR="003F126F" w:rsidRPr="005F53CF">
        <w:rPr>
          <w:rFonts w:ascii="Arial" w:hAnsi="Arial" w:cs="Arial"/>
          <w:sz w:val="24"/>
          <w:szCs w:val="24"/>
        </w:rPr>
        <w:t>Britain's Energy Coast</w:t>
      </w:r>
      <w:r w:rsidR="001B0A9F" w:rsidRPr="005F53CF">
        <w:rPr>
          <w:rFonts w:ascii="Arial" w:hAnsi="Arial" w:cs="Arial"/>
          <w:sz w:val="24"/>
          <w:szCs w:val="24"/>
        </w:rPr>
        <w:t xml:space="preserve">. This project is currently </w:t>
      </w:r>
      <w:r w:rsidR="0086286D">
        <w:rPr>
          <w:rFonts w:ascii="Arial" w:hAnsi="Arial" w:cs="Arial"/>
          <w:sz w:val="24"/>
          <w:szCs w:val="24"/>
        </w:rPr>
        <w:t>at Outline Business Case stage with a request of</w:t>
      </w:r>
      <w:r w:rsidR="001B0A9F" w:rsidRPr="005F53CF">
        <w:rPr>
          <w:rFonts w:ascii="Arial" w:hAnsi="Arial" w:cs="Arial"/>
          <w:sz w:val="24"/>
          <w:szCs w:val="24"/>
        </w:rPr>
        <w:t xml:space="preserve"> £</w:t>
      </w:r>
      <w:r w:rsidR="003F126F" w:rsidRPr="005F53CF">
        <w:rPr>
          <w:rFonts w:ascii="Arial" w:hAnsi="Arial" w:cs="Arial"/>
          <w:sz w:val="24"/>
          <w:szCs w:val="24"/>
        </w:rPr>
        <w:t>4,</w:t>
      </w:r>
      <w:r w:rsidR="0086286D">
        <w:rPr>
          <w:rFonts w:ascii="Arial" w:hAnsi="Arial" w:cs="Arial"/>
          <w:sz w:val="24"/>
          <w:szCs w:val="24"/>
        </w:rPr>
        <w:t>473</w:t>
      </w:r>
      <w:r w:rsidR="003F126F" w:rsidRPr="005F53CF">
        <w:rPr>
          <w:rFonts w:ascii="Arial" w:hAnsi="Arial" w:cs="Arial"/>
          <w:sz w:val="24"/>
          <w:szCs w:val="24"/>
        </w:rPr>
        <w:t>,000</w:t>
      </w:r>
      <w:r w:rsidR="0086286D">
        <w:rPr>
          <w:rFonts w:ascii="Arial" w:hAnsi="Arial" w:cs="Arial"/>
          <w:sz w:val="24"/>
          <w:szCs w:val="24"/>
        </w:rPr>
        <w:t xml:space="preserve">.  </w:t>
      </w:r>
      <w:r w:rsidR="001B0A9F" w:rsidRPr="005F53CF">
        <w:rPr>
          <w:rFonts w:ascii="Arial" w:hAnsi="Arial" w:cs="Arial"/>
          <w:sz w:val="24"/>
          <w:szCs w:val="24"/>
        </w:rPr>
        <w:t xml:space="preserve">The project should be completed in 2020/21 and is forecast to deliver </w:t>
      </w:r>
      <w:r w:rsidRPr="005F53CF">
        <w:rPr>
          <w:rFonts w:ascii="Arial" w:hAnsi="Arial" w:cs="Arial"/>
          <w:sz w:val="24"/>
          <w:szCs w:val="24"/>
        </w:rPr>
        <w:t xml:space="preserve">28 </w:t>
      </w:r>
      <w:r w:rsidR="001B0A9F" w:rsidRPr="005F53CF">
        <w:rPr>
          <w:rFonts w:ascii="Arial" w:hAnsi="Arial" w:cs="Arial"/>
          <w:sz w:val="24"/>
          <w:szCs w:val="24"/>
        </w:rPr>
        <w:t xml:space="preserve">new jobs, </w:t>
      </w:r>
      <w:r w:rsidRPr="005F53CF">
        <w:rPr>
          <w:rFonts w:ascii="Arial" w:hAnsi="Arial" w:cs="Arial"/>
          <w:sz w:val="24"/>
          <w:szCs w:val="24"/>
        </w:rPr>
        <w:t>6,525</w:t>
      </w:r>
      <w:r w:rsidR="001B0A9F" w:rsidRPr="005F53CF">
        <w:rPr>
          <w:rFonts w:ascii="Arial" w:hAnsi="Arial" w:cs="Arial"/>
          <w:sz w:val="24"/>
          <w:szCs w:val="24"/>
        </w:rPr>
        <w:t xml:space="preserve"> sqm of </w:t>
      </w:r>
      <w:r w:rsidRPr="005F53CF">
        <w:rPr>
          <w:rFonts w:ascii="Arial" w:hAnsi="Arial" w:cs="Arial"/>
          <w:sz w:val="24"/>
          <w:szCs w:val="24"/>
        </w:rPr>
        <w:t xml:space="preserve">hotel accommodation </w:t>
      </w:r>
      <w:r w:rsidR="001B0A9F" w:rsidRPr="005F53CF">
        <w:rPr>
          <w:rFonts w:ascii="Arial" w:hAnsi="Arial" w:cs="Arial"/>
          <w:sz w:val="24"/>
          <w:szCs w:val="24"/>
        </w:rPr>
        <w:t>and £</w:t>
      </w:r>
      <w:r w:rsidRPr="005F53CF">
        <w:rPr>
          <w:rFonts w:ascii="Arial" w:hAnsi="Arial" w:cs="Arial"/>
          <w:sz w:val="24"/>
          <w:szCs w:val="24"/>
        </w:rPr>
        <w:t>8.1</w:t>
      </w:r>
      <w:r w:rsidR="001B0A9F" w:rsidRPr="005F53CF">
        <w:rPr>
          <w:rFonts w:ascii="Arial" w:hAnsi="Arial" w:cs="Arial"/>
          <w:sz w:val="24"/>
          <w:szCs w:val="24"/>
        </w:rPr>
        <w:t xml:space="preserve"> million in project sector leverage. The project is part of the wider £300 million Whitehaven North Shore development</w:t>
      </w:r>
      <w:r w:rsidR="00AC4A82">
        <w:rPr>
          <w:rFonts w:ascii="Arial" w:hAnsi="Arial" w:cs="Arial"/>
          <w:sz w:val="24"/>
          <w:szCs w:val="24"/>
        </w:rPr>
        <w:t>, which will help support diversification of the local economy and the place-making agenda.</w:t>
      </w:r>
    </w:p>
    <w:p w14:paraId="564D4AFD" w14:textId="6E74C4A6" w:rsidR="003F126F" w:rsidRPr="005F53CF" w:rsidRDefault="003F126F" w:rsidP="003F126F">
      <w:pPr>
        <w:pStyle w:val="Heading7"/>
        <w:rPr>
          <w:rFonts w:ascii="Arial" w:hAnsi="Arial" w:cs="Arial"/>
          <w:sz w:val="24"/>
          <w:szCs w:val="24"/>
        </w:rPr>
      </w:pPr>
      <w:r w:rsidRPr="005F53CF">
        <w:rPr>
          <w:rFonts w:ascii="Arial" w:hAnsi="Arial" w:cs="Arial"/>
          <w:b/>
          <w:sz w:val="24"/>
          <w:szCs w:val="24"/>
        </w:rPr>
        <w:t>Project Ark</w:t>
      </w:r>
      <w:r w:rsidR="001B0A9F" w:rsidRPr="005F53CF">
        <w:rPr>
          <w:rFonts w:ascii="Arial" w:hAnsi="Arial" w:cs="Arial"/>
          <w:sz w:val="24"/>
          <w:szCs w:val="24"/>
        </w:rPr>
        <w:t xml:space="preserve">, </w:t>
      </w:r>
      <w:r w:rsidRPr="005F53CF">
        <w:rPr>
          <w:rFonts w:ascii="Arial" w:hAnsi="Arial" w:cs="Arial"/>
          <w:sz w:val="24"/>
          <w:szCs w:val="24"/>
        </w:rPr>
        <w:t>James Walker &amp; Co Limited</w:t>
      </w:r>
      <w:r w:rsidR="001B0A9F" w:rsidRPr="005F53CF">
        <w:rPr>
          <w:rFonts w:ascii="Arial" w:hAnsi="Arial" w:cs="Arial"/>
          <w:sz w:val="24"/>
          <w:szCs w:val="24"/>
        </w:rPr>
        <w:t xml:space="preserve"> in Cockermouth is live and is expected to be completed in 2019/20</w:t>
      </w:r>
      <w:r w:rsidR="00AC4A82">
        <w:rPr>
          <w:rFonts w:ascii="Arial" w:hAnsi="Arial" w:cs="Arial"/>
          <w:sz w:val="24"/>
          <w:szCs w:val="24"/>
        </w:rPr>
        <w:t xml:space="preserve">, </w:t>
      </w:r>
      <w:r w:rsidR="00732EC9">
        <w:rPr>
          <w:rFonts w:ascii="Arial" w:hAnsi="Arial" w:cs="Arial"/>
          <w:sz w:val="24"/>
          <w:szCs w:val="24"/>
        </w:rPr>
        <w:t xml:space="preserve">spending </w:t>
      </w:r>
      <w:r w:rsidR="001B0A9F" w:rsidRPr="005F53CF">
        <w:rPr>
          <w:rFonts w:ascii="Arial" w:hAnsi="Arial" w:cs="Arial"/>
          <w:sz w:val="24"/>
          <w:szCs w:val="24"/>
        </w:rPr>
        <w:t>£</w:t>
      </w:r>
      <w:r w:rsidR="005A5795" w:rsidRPr="005F53CF">
        <w:rPr>
          <w:rFonts w:ascii="Arial" w:hAnsi="Arial" w:cs="Arial"/>
          <w:sz w:val="24"/>
          <w:szCs w:val="24"/>
        </w:rPr>
        <w:t>1</w:t>
      </w:r>
      <w:r w:rsidR="005A5795">
        <w:rPr>
          <w:rFonts w:ascii="Arial" w:hAnsi="Arial" w:cs="Arial"/>
          <w:sz w:val="24"/>
          <w:szCs w:val="24"/>
        </w:rPr>
        <w:t>,837</w:t>
      </w:r>
      <w:r w:rsidR="001B0A9F" w:rsidRPr="005F53CF">
        <w:rPr>
          <w:rFonts w:ascii="Arial" w:hAnsi="Arial" w:cs="Arial"/>
          <w:sz w:val="24"/>
          <w:szCs w:val="24"/>
        </w:rPr>
        <w:t xml:space="preserve">,000 </w:t>
      </w:r>
      <w:r w:rsidR="005A5795">
        <w:rPr>
          <w:rFonts w:ascii="Arial" w:hAnsi="Arial" w:cs="Arial"/>
          <w:sz w:val="24"/>
          <w:szCs w:val="24"/>
        </w:rPr>
        <w:t>of</w:t>
      </w:r>
      <w:r w:rsidR="005A5795" w:rsidRPr="005F53CF">
        <w:rPr>
          <w:rFonts w:ascii="Arial" w:hAnsi="Arial" w:cs="Arial"/>
          <w:sz w:val="24"/>
          <w:szCs w:val="24"/>
        </w:rPr>
        <w:t xml:space="preserve"> </w:t>
      </w:r>
      <w:r w:rsidR="001B0A9F" w:rsidRPr="005F53CF">
        <w:rPr>
          <w:rFonts w:ascii="Arial" w:hAnsi="Arial" w:cs="Arial"/>
          <w:sz w:val="24"/>
          <w:szCs w:val="24"/>
        </w:rPr>
        <w:t xml:space="preserve">its allocation of £2,600,000. </w:t>
      </w:r>
      <w:r w:rsidRPr="005F53CF">
        <w:rPr>
          <w:rFonts w:ascii="Arial" w:hAnsi="Arial" w:cs="Arial"/>
          <w:sz w:val="24"/>
          <w:szCs w:val="24"/>
        </w:rPr>
        <w:t xml:space="preserve"> </w:t>
      </w:r>
      <w:r w:rsidR="00754639" w:rsidRPr="005F53CF">
        <w:rPr>
          <w:rFonts w:ascii="Arial" w:hAnsi="Arial" w:cs="Arial"/>
          <w:sz w:val="24"/>
          <w:szCs w:val="24"/>
        </w:rPr>
        <w:t>The project is supporting the development of new flood defences for the business</w:t>
      </w:r>
      <w:r w:rsidR="00732EC9">
        <w:rPr>
          <w:rFonts w:ascii="Arial" w:hAnsi="Arial" w:cs="Arial"/>
          <w:sz w:val="24"/>
          <w:szCs w:val="24"/>
        </w:rPr>
        <w:t xml:space="preserve">, </w:t>
      </w:r>
      <w:r w:rsidR="00754639" w:rsidRPr="005F53CF">
        <w:rPr>
          <w:rFonts w:ascii="Arial" w:hAnsi="Arial" w:cs="Arial"/>
          <w:sz w:val="24"/>
          <w:szCs w:val="24"/>
        </w:rPr>
        <w:t>wh</w:t>
      </w:r>
      <w:r w:rsidR="00732EC9">
        <w:rPr>
          <w:rFonts w:ascii="Arial" w:hAnsi="Arial" w:cs="Arial"/>
          <w:sz w:val="24"/>
          <w:szCs w:val="24"/>
        </w:rPr>
        <w:t>ich</w:t>
      </w:r>
      <w:r w:rsidR="00754639" w:rsidRPr="005F53CF">
        <w:rPr>
          <w:rFonts w:ascii="Arial" w:hAnsi="Arial" w:cs="Arial"/>
          <w:sz w:val="24"/>
          <w:szCs w:val="24"/>
        </w:rPr>
        <w:t xml:space="preserve"> was severely affected by flooding in 2015 as a consequence of Storm Desmond. The project has safeguarded 400 high quality jobs and support</w:t>
      </w:r>
      <w:r w:rsidR="00732EC9">
        <w:rPr>
          <w:rFonts w:ascii="Arial" w:hAnsi="Arial" w:cs="Arial"/>
          <w:sz w:val="24"/>
          <w:szCs w:val="24"/>
        </w:rPr>
        <w:t>s</w:t>
      </w:r>
      <w:r w:rsidR="00754639" w:rsidRPr="005F53CF">
        <w:rPr>
          <w:rFonts w:ascii="Arial" w:hAnsi="Arial" w:cs="Arial"/>
          <w:sz w:val="24"/>
          <w:szCs w:val="24"/>
        </w:rPr>
        <w:t xml:space="preserve"> a follow</w:t>
      </w:r>
      <w:r w:rsidR="00732EC9">
        <w:rPr>
          <w:rFonts w:ascii="Arial" w:hAnsi="Arial" w:cs="Arial"/>
          <w:sz w:val="24"/>
          <w:szCs w:val="24"/>
        </w:rPr>
        <w:t>-</w:t>
      </w:r>
      <w:r w:rsidR="00754639" w:rsidRPr="005F53CF">
        <w:rPr>
          <w:rFonts w:ascii="Arial" w:hAnsi="Arial" w:cs="Arial"/>
          <w:sz w:val="24"/>
          <w:szCs w:val="24"/>
        </w:rPr>
        <w:t xml:space="preserve">on investment by the business of around £10 million. </w:t>
      </w:r>
    </w:p>
    <w:p w14:paraId="3CAD3342" w14:textId="77777777" w:rsidR="00A8242C" w:rsidRPr="00A8242C" w:rsidRDefault="00A84AD5" w:rsidP="00A8242C">
      <w:pPr>
        <w:pStyle w:val="Heading7"/>
        <w:spacing w:after="0"/>
        <w:jc w:val="left"/>
        <w:rPr>
          <w:rFonts w:ascii="Arial" w:hAnsi="Arial" w:cs="Arial"/>
          <w:b/>
          <w:sz w:val="24"/>
          <w:szCs w:val="24"/>
        </w:rPr>
      </w:pPr>
      <w:r w:rsidRPr="00A8242C">
        <w:rPr>
          <w:rFonts w:ascii="Arial" w:hAnsi="Arial" w:cs="Arial"/>
          <w:b/>
          <w:sz w:val="24"/>
          <w:szCs w:val="24"/>
        </w:rPr>
        <w:t>M-Sport Eval</w:t>
      </w:r>
      <w:r w:rsidR="00732EC9" w:rsidRPr="00A8242C">
        <w:rPr>
          <w:rFonts w:ascii="Arial" w:hAnsi="Arial" w:cs="Arial"/>
          <w:b/>
          <w:sz w:val="24"/>
          <w:szCs w:val="24"/>
        </w:rPr>
        <w:t>u</w:t>
      </w:r>
      <w:r w:rsidRPr="00A8242C">
        <w:rPr>
          <w:rFonts w:ascii="Arial" w:hAnsi="Arial" w:cs="Arial"/>
          <w:b/>
          <w:sz w:val="24"/>
          <w:szCs w:val="24"/>
        </w:rPr>
        <w:t>ation Centre</w:t>
      </w:r>
      <w:r w:rsidRPr="00A8242C">
        <w:rPr>
          <w:rFonts w:ascii="Arial" w:hAnsi="Arial" w:cs="Arial"/>
          <w:sz w:val="24"/>
          <w:szCs w:val="24"/>
        </w:rPr>
        <w:t xml:space="preserve"> </w:t>
      </w:r>
      <w:r w:rsidR="00774231" w:rsidRPr="00A8242C">
        <w:rPr>
          <w:rFonts w:ascii="Arial" w:hAnsi="Arial" w:cs="Arial"/>
          <w:sz w:val="24"/>
          <w:szCs w:val="24"/>
        </w:rPr>
        <w:t>the</w:t>
      </w:r>
      <w:r w:rsidRPr="00A8242C">
        <w:rPr>
          <w:rFonts w:ascii="Arial" w:hAnsi="Arial" w:cs="Arial"/>
          <w:sz w:val="24"/>
          <w:szCs w:val="24"/>
        </w:rPr>
        <w:t xml:space="preserve"> MEC project comprises the construction of a </w:t>
      </w:r>
      <w:r w:rsidR="00402F3E" w:rsidRPr="00A8242C">
        <w:rPr>
          <w:rFonts w:ascii="Arial" w:hAnsi="Arial" w:cs="Arial"/>
          <w:sz w:val="24"/>
          <w:szCs w:val="24"/>
        </w:rPr>
        <w:t xml:space="preserve">state of the art R&amp;D facility </w:t>
      </w:r>
      <w:r w:rsidRPr="00A8242C">
        <w:rPr>
          <w:rFonts w:ascii="Arial" w:hAnsi="Arial" w:cs="Arial"/>
          <w:sz w:val="24"/>
          <w:szCs w:val="24"/>
        </w:rPr>
        <w:t xml:space="preserve">at the M-Sport Headquarters at Dovenby Hall near Cockermouth.  The overall aim of the project is to create a centre of engineering and research excellence that will enable M-Sport to build on their global success as World Rally Champions and expand their motorsport design, development and production operations into wider automotive areas such as small batch partnerships and research and development into electric and battery car technologies. The project will lever £23.4m of public and private </w:t>
      </w:r>
      <w:r w:rsidR="00FF29FD" w:rsidRPr="00A8242C">
        <w:rPr>
          <w:rFonts w:ascii="Arial" w:hAnsi="Arial" w:cs="Arial"/>
          <w:sz w:val="24"/>
          <w:szCs w:val="24"/>
        </w:rPr>
        <w:t xml:space="preserve">sector funding, develop 10,723 </w:t>
      </w:r>
      <w:r w:rsidR="00774231" w:rsidRPr="00A8242C">
        <w:rPr>
          <w:rFonts w:ascii="Arial" w:hAnsi="Arial" w:cs="Arial"/>
          <w:sz w:val="24"/>
          <w:szCs w:val="24"/>
        </w:rPr>
        <w:t>sq.</w:t>
      </w:r>
      <w:r w:rsidR="00FF29FD" w:rsidRPr="00A8242C">
        <w:rPr>
          <w:rFonts w:ascii="Arial" w:hAnsi="Arial" w:cs="Arial"/>
          <w:sz w:val="24"/>
          <w:szCs w:val="24"/>
        </w:rPr>
        <w:t xml:space="preserve"> metres </w:t>
      </w:r>
      <w:r w:rsidR="00732EC9" w:rsidRPr="00A8242C">
        <w:rPr>
          <w:rFonts w:ascii="Arial" w:hAnsi="Arial" w:cs="Arial"/>
          <w:sz w:val="24"/>
          <w:szCs w:val="24"/>
        </w:rPr>
        <w:t>o</w:t>
      </w:r>
      <w:r w:rsidR="00FF29FD" w:rsidRPr="00A8242C">
        <w:rPr>
          <w:rFonts w:ascii="Arial" w:hAnsi="Arial" w:cs="Arial"/>
          <w:sz w:val="24"/>
          <w:szCs w:val="24"/>
        </w:rPr>
        <w:t xml:space="preserve">f business space, and create 101 jobs. </w:t>
      </w:r>
      <w:r w:rsidR="00732EC9" w:rsidRPr="00A8242C">
        <w:rPr>
          <w:rFonts w:ascii="Arial" w:hAnsi="Arial" w:cs="Arial"/>
          <w:b/>
          <w:sz w:val="24"/>
          <w:szCs w:val="24"/>
        </w:rPr>
        <w:br/>
      </w:r>
    </w:p>
    <w:p w14:paraId="6E42A167" w14:textId="5B944F28" w:rsidR="003F126F" w:rsidRPr="00A8242C" w:rsidRDefault="0029759F" w:rsidP="00A8242C">
      <w:pPr>
        <w:pStyle w:val="Heading7"/>
        <w:spacing w:before="0"/>
        <w:jc w:val="left"/>
        <w:rPr>
          <w:rFonts w:ascii="Arial" w:hAnsi="Arial" w:cs="Arial"/>
          <w:sz w:val="24"/>
          <w:szCs w:val="24"/>
        </w:rPr>
      </w:pPr>
      <w:r w:rsidRPr="00A8242C">
        <w:rPr>
          <w:rFonts w:ascii="Arial" w:hAnsi="Arial" w:cs="Arial"/>
          <w:b/>
          <w:sz w:val="24"/>
          <w:szCs w:val="24"/>
        </w:rPr>
        <w:t xml:space="preserve">Business Growth Projects </w:t>
      </w:r>
      <w:r w:rsidR="00A27755" w:rsidRPr="00A8242C">
        <w:rPr>
          <w:rFonts w:ascii="Arial" w:hAnsi="Arial" w:cs="Arial"/>
          <w:sz w:val="24"/>
          <w:szCs w:val="24"/>
        </w:rPr>
        <w:t>t</w:t>
      </w:r>
      <w:r w:rsidR="001B0A9F" w:rsidRPr="00A8242C">
        <w:rPr>
          <w:rFonts w:ascii="Arial" w:hAnsi="Arial" w:cs="Arial"/>
          <w:sz w:val="24"/>
          <w:szCs w:val="24"/>
        </w:rPr>
        <w:t>wo projects to help local business</w:t>
      </w:r>
      <w:r w:rsidR="00754639" w:rsidRPr="00A8242C">
        <w:rPr>
          <w:rFonts w:ascii="Arial" w:hAnsi="Arial" w:cs="Arial"/>
          <w:sz w:val="24"/>
          <w:szCs w:val="24"/>
        </w:rPr>
        <w:t>es</w:t>
      </w:r>
      <w:r w:rsidR="001B0A9F" w:rsidRPr="00A8242C">
        <w:rPr>
          <w:rFonts w:ascii="Arial" w:hAnsi="Arial" w:cs="Arial"/>
          <w:sz w:val="24"/>
          <w:szCs w:val="24"/>
        </w:rPr>
        <w:t xml:space="preserve"> exp</w:t>
      </w:r>
      <w:r w:rsidR="00754639" w:rsidRPr="00A8242C">
        <w:rPr>
          <w:rFonts w:ascii="Arial" w:hAnsi="Arial" w:cs="Arial"/>
          <w:sz w:val="24"/>
          <w:szCs w:val="24"/>
        </w:rPr>
        <w:t>a</w:t>
      </w:r>
      <w:r w:rsidR="001B0A9F" w:rsidRPr="00A8242C">
        <w:rPr>
          <w:rFonts w:ascii="Arial" w:hAnsi="Arial" w:cs="Arial"/>
          <w:sz w:val="24"/>
          <w:szCs w:val="24"/>
        </w:rPr>
        <w:t>nd</w:t>
      </w:r>
      <w:r w:rsidR="00AC2227" w:rsidRPr="00A8242C">
        <w:rPr>
          <w:rFonts w:ascii="Arial" w:hAnsi="Arial" w:cs="Arial"/>
          <w:sz w:val="24"/>
          <w:szCs w:val="24"/>
        </w:rPr>
        <w:t xml:space="preserve"> and access new export markets</w:t>
      </w:r>
      <w:r w:rsidR="001B0A9F" w:rsidRPr="00A8242C">
        <w:rPr>
          <w:rFonts w:ascii="Arial" w:hAnsi="Arial" w:cs="Arial"/>
          <w:sz w:val="24"/>
          <w:szCs w:val="24"/>
        </w:rPr>
        <w:t xml:space="preserve"> will be </w:t>
      </w:r>
      <w:r w:rsidR="00754639" w:rsidRPr="00A8242C">
        <w:rPr>
          <w:rFonts w:ascii="Arial" w:hAnsi="Arial" w:cs="Arial"/>
          <w:sz w:val="24"/>
          <w:szCs w:val="24"/>
        </w:rPr>
        <w:t>completed</w:t>
      </w:r>
      <w:r w:rsidR="001B0A9F" w:rsidRPr="00A8242C">
        <w:rPr>
          <w:rFonts w:ascii="Arial" w:hAnsi="Arial" w:cs="Arial"/>
          <w:sz w:val="24"/>
          <w:szCs w:val="24"/>
        </w:rPr>
        <w:t xml:space="preserve"> in 2019/20</w:t>
      </w:r>
      <w:r w:rsidRPr="00A8242C">
        <w:rPr>
          <w:rFonts w:ascii="Arial" w:hAnsi="Arial" w:cs="Arial"/>
          <w:sz w:val="24"/>
          <w:szCs w:val="24"/>
        </w:rPr>
        <w:t xml:space="preserve">.  Individual investments in Clark Door and Support In Sport Manufacturing Ltd </w:t>
      </w:r>
      <w:r w:rsidR="000A27A0" w:rsidRPr="00A8242C">
        <w:rPr>
          <w:rFonts w:ascii="Arial" w:hAnsi="Arial" w:cs="Arial"/>
          <w:sz w:val="24"/>
          <w:szCs w:val="24"/>
        </w:rPr>
        <w:t xml:space="preserve">will support 30 new jobs, safeguard 40 and the £840,000 Growth Deal investment will lead to £3.8 million private sector investment. </w:t>
      </w:r>
    </w:p>
    <w:p w14:paraId="0D36CFED" w14:textId="7393ABE5" w:rsidR="003F126F" w:rsidRPr="005F53CF" w:rsidRDefault="003F126F">
      <w:pPr>
        <w:pStyle w:val="Heading7"/>
        <w:rPr>
          <w:rFonts w:ascii="Arial" w:hAnsi="Arial" w:cs="Arial"/>
          <w:sz w:val="24"/>
          <w:szCs w:val="24"/>
        </w:rPr>
      </w:pPr>
      <w:r w:rsidRPr="005F53CF">
        <w:rPr>
          <w:rFonts w:ascii="Arial" w:hAnsi="Arial" w:cs="Arial"/>
          <w:b/>
          <w:sz w:val="24"/>
          <w:szCs w:val="24"/>
        </w:rPr>
        <w:t>Cumbria Coastal Rail</w:t>
      </w:r>
      <w:r w:rsidR="00AB7499" w:rsidRPr="005F53CF">
        <w:rPr>
          <w:rFonts w:ascii="Arial" w:hAnsi="Arial" w:cs="Arial"/>
          <w:b/>
          <w:sz w:val="24"/>
          <w:szCs w:val="24"/>
        </w:rPr>
        <w:t xml:space="preserve"> </w:t>
      </w:r>
      <w:r w:rsidR="00A27755">
        <w:rPr>
          <w:rFonts w:ascii="Arial" w:hAnsi="Arial" w:cs="Arial"/>
          <w:sz w:val="24"/>
          <w:szCs w:val="24"/>
        </w:rPr>
        <w:t>will</w:t>
      </w:r>
      <w:r w:rsidR="00A8242C">
        <w:rPr>
          <w:rFonts w:ascii="Arial" w:hAnsi="Arial" w:cs="Arial"/>
          <w:sz w:val="24"/>
          <w:szCs w:val="24"/>
        </w:rPr>
        <w:t xml:space="preserve"> </w:t>
      </w:r>
      <w:r w:rsidR="00AB7499" w:rsidRPr="005F53CF">
        <w:rPr>
          <w:rFonts w:ascii="Arial" w:hAnsi="Arial" w:cs="Arial"/>
          <w:sz w:val="24"/>
          <w:szCs w:val="24"/>
        </w:rPr>
        <w:t>provid</w:t>
      </w:r>
      <w:r w:rsidR="00A27755">
        <w:rPr>
          <w:rFonts w:ascii="Arial" w:hAnsi="Arial" w:cs="Arial"/>
          <w:sz w:val="24"/>
          <w:szCs w:val="24"/>
        </w:rPr>
        <w:t>e</w:t>
      </w:r>
      <w:r w:rsidR="00A8242C">
        <w:rPr>
          <w:rFonts w:ascii="Arial" w:hAnsi="Arial" w:cs="Arial"/>
          <w:sz w:val="24"/>
          <w:szCs w:val="24"/>
        </w:rPr>
        <w:t xml:space="preserve"> </w:t>
      </w:r>
      <w:r w:rsidR="00AB7499" w:rsidRPr="005F53CF">
        <w:rPr>
          <w:rFonts w:ascii="Arial" w:hAnsi="Arial" w:cs="Arial"/>
          <w:sz w:val="24"/>
          <w:szCs w:val="24"/>
        </w:rPr>
        <w:t>£</w:t>
      </w:r>
      <w:r w:rsidR="00AC2227">
        <w:rPr>
          <w:rFonts w:ascii="Arial" w:hAnsi="Arial" w:cs="Arial"/>
          <w:sz w:val="24"/>
          <w:szCs w:val="24"/>
        </w:rPr>
        <w:t>835,000</w:t>
      </w:r>
      <w:r w:rsidRPr="005F53CF">
        <w:rPr>
          <w:rFonts w:ascii="Arial" w:hAnsi="Arial" w:cs="Arial"/>
          <w:sz w:val="24"/>
          <w:szCs w:val="24"/>
        </w:rPr>
        <w:t xml:space="preserve"> </w:t>
      </w:r>
      <w:r w:rsidR="00AB7499" w:rsidRPr="00732EC9">
        <w:rPr>
          <w:rFonts w:ascii="Arial" w:hAnsi="Arial" w:cs="Arial"/>
          <w:sz w:val="24"/>
          <w:szCs w:val="24"/>
        </w:rPr>
        <w:t xml:space="preserve">to support the development of the business case </w:t>
      </w:r>
      <w:r w:rsidR="00CC5F69" w:rsidRPr="00732EC9">
        <w:rPr>
          <w:rFonts w:ascii="Arial" w:hAnsi="Arial" w:cs="Arial"/>
          <w:sz w:val="24"/>
          <w:szCs w:val="24"/>
        </w:rPr>
        <w:t xml:space="preserve">to </w:t>
      </w:r>
      <w:r w:rsidR="00BA5417">
        <w:rPr>
          <w:rFonts w:ascii="Arial" w:hAnsi="Arial" w:cs="Arial"/>
          <w:sz w:val="24"/>
          <w:szCs w:val="24"/>
        </w:rPr>
        <w:t xml:space="preserve">the </w:t>
      </w:r>
      <w:r w:rsidR="00CC5F69" w:rsidRPr="00732EC9">
        <w:rPr>
          <w:rFonts w:ascii="Arial" w:hAnsi="Arial" w:cs="Arial"/>
          <w:sz w:val="24"/>
          <w:szCs w:val="24"/>
        </w:rPr>
        <w:t>D</w:t>
      </w:r>
      <w:r w:rsidR="00BA5417">
        <w:rPr>
          <w:rFonts w:ascii="Arial" w:hAnsi="Arial" w:cs="Arial"/>
          <w:sz w:val="24"/>
          <w:szCs w:val="24"/>
        </w:rPr>
        <w:t xml:space="preserve">epartment </w:t>
      </w:r>
      <w:r w:rsidR="00CC5F69" w:rsidRPr="00732EC9">
        <w:rPr>
          <w:rFonts w:ascii="Arial" w:hAnsi="Arial" w:cs="Arial"/>
          <w:sz w:val="24"/>
          <w:szCs w:val="24"/>
        </w:rPr>
        <w:t>f</w:t>
      </w:r>
      <w:r w:rsidR="00BA5417">
        <w:rPr>
          <w:rFonts w:ascii="Arial" w:hAnsi="Arial" w:cs="Arial"/>
          <w:sz w:val="24"/>
          <w:szCs w:val="24"/>
        </w:rPr>
        <w:t xml:space="preserve">or </w:t>
      </w:r>
      <w:r w:rsidR="00CC5F69" w:rsidRPr="00732EC9">
        <w:rPr>
          <w:rFonts w:ascii="Arial" w:hAnsi="Arial" w:cs="Arial"/>
          <w:sz w:val="24"/>
          <w:szCs w:val="24"/>
        </w:rPr>
        <w:t>T</w:t>
      </w:r>
      <w:r w:rsidR="00BA5417">
        <w:rPr>
          <w:rFonts w:ascii="Arial" w:hAnsi="Arial" w:cs="Arial"/>
          <w:sz w:val="24"/>
          <w:szCs w:val="24"/>
        </w:rPr>
        <w:t>ransport (</w:t>
      </w:r>
      <w:proofErr w:type="spellStart"/>
      <w:r w:rsidR="00BA5417">
        <w:rPr>
          <w:rFonts w:ascii="Arial" w:hAnsi="Arial" w:cs="Arial"/>
          <w:sz w:val="24"/>
          <w:szCs w:val="24"/>
        </w:rPr>
        <w:t>DfT</w:t>
      </w:r>
      <w:proofErr w:type="spellEnd"/>
      <w:r w:rsidR="00BA5417">
        <w:rPr>
          <w:rFonts w:ascii="Arial" w:hAnsi="Arial" w:cs="Arial"/>
          <w:sz w:val="24"/>
          <w:szCs w:val="24"/>
        </w:rPr>
        <w:t>)</w:t>
      </w:r>
      <w:r w:rsidR="00732EC9">
        <w:rPr>
          <w:rFonts w:ascii="Arial" w:hAnsi="Arial" w:cs="Arial"/>
          <w:sz w:val="24"/>
          <w:szCs w:val="24"/>
        </w:rPr>
        <w:t xml:space="preserve">, which </w:t>
      </w:r>
      <w:r w:rsidR="00CC5F69" w:rsidRPr="00732EC9">
        <w:rPr>
          <w:rFonts w:ascii="Arial" w:hAnsi="Arial" w:cs="Arial"/>
          <w:sz w:val="24"/>
          <w:szCs w:val="24"/>
        </w:rPr>
        <w:t xml:space="preserve">if successful will </w:t>
      </w:r>
      <w:r w:rsidR="00CC5F69" w:rsidRPr="005F53CF">
        <w:rPr>
          <w:rFonts w:ascii="Arial" w:hAnsi="Arial" w:cs="Arial"/>
          <w:sz w:val="24"/>
          <w:szCs w:val="24"/>
        </w:rPr>
        <w:t xml:space="preserve">support </w:t>
      </w:r>
      <w:r w:rsidR="00774231" w:rsidRPr="005F53CF">
        <w:rPr>
          <w:rFonts w:ascii="Arial" w:hAnsi="Arial" w:cs="Arial"/>
          <w:sz w:val="24"/>
          <w:szCs w:val="24"/>
        </w:rPr>
        <w:t>the</w:t>
      </w:r>
      <w:r w:rsidR="00CC5F69" w:rsidRPr="005F53CF">
        <w:rPr>
          <w:rFonts w:ascii="Arial" w:hAnsi="Arial" w:cs="Arial"/>
          <w:sz w:val="24"/>
          <w:szCs w:val="24"/>
        </w:rPr>
        <w:t xml:space="preserve"> ‘Energy Coast’ Rail upgrade. This is a rail infrastructure improvement scheme between Carlisle and Barrow-in-Furness intended to increase rail capacity, improve</w:t>
      </w:r>
      <w:r w:rsidR="000A6EFD" w:rsidRPr="005F53CF">
        <w:rPr>
          <w:rFonts w:ascii="Arial" w:hAnsi="Arial" w:cs="Arial"/>
          <w:sz w:val="24"/>
          <w:szCs w:val="24"/>
        </w:rPr>
        <w:t xml:space="preserve"> </w:t>
      </w:r>
      <w:r w:rsidR="00CC5F69" w:rsidRPr="005F53CF">
        <w:rPr>
          <w:rFonts w:ascii="Arial" w:hAnsi="Arial" w:cs="Arial"/>
          <w:sz w:val="24"/>
          <w:szCs w:val="24"/>
        </w:rPr>
        <w:t xml:space="preserve">resilience and ultimately enable a number of major developments to use the rail network for the movement of freight and workforce.  The initial project will lever over £8m of investment from DfT and, if successful, </w:t>
      </w:r>
      <w:r w:rsidR="00732EC9">
        <w:rPr>
          <w:rFonts w:ascii="Arial" w:hAnsi="Arial" w:cs="Arial"/>
          <w:sz w:val="24"/>
          <w:szCs w:val="24"/>
        </w:rPr>
        <w:t>h</w:t>
      </w:r>
      <w:r w:rsidR="00CC5F69" w:rsidRPr="005F53CF">
        <w:rPr>
          <w:rFonts w:ascii="Arial" w:hAnsi="Arial" w:cs="Arial"/>
          <w:sz w:val="24"/>
          <w:szCs w:val="24"/>
        </w:rPr>
        <w:t xml:space="preserve">as the ability to lever in significant investment to the region. </w:t>
      </w:r>
      <w:r w:rsidRPr="005F53CF">
        <w:rPr>
          <w:rFonts w:ascii="Arial" w:hAnsi="Arial" w:cs="Arial"/>
          <w:sz w:val="24"/>
          <w:szCs w:val="24"/>
        </w:rPr>
        <w:t xml:space="preserve"> </w:t>
      </w:r>
    </w:p>
    <w:p w14:paraId="3FA90892" w14:textId="4DFBB240" w:rsidR="00C16C47" w:rsidRDefault="00C16C47" w:rsidP="00C16C47">
      <w:pPr>
        <w:pStyle w:val="Heading7"/>
        <w:rPr>
          <w:rFonts w:ascii="Arial" w:hAnsi="Arial" w:cs="Arial"/>
          <w:sz w:val="24"/>
          <w:szCs w:val="24"/>
        </w:rPr>
      </w:pPr>
      <w:r w:rsidRPr="005F53CF">
        <w:rPr>
          <w:rFonts w:ascii="Arial" w:hAnsi="Arial" w:cs="Arial"/>
          <w:b/>
          <w:sz w:val="24"/>
          <w:szCs w:val="24"/>
        </w:rPr>
        <w:t>South Ulverston Infrastructure Improvements</w:t>
      </w:r>
      <w:r w:rsidRPr="005F53CF">
        <w:rPr>
          <w:rFonts w:ascii="Arial" w:hAnsi="Arial" w:cs="Arial"/>
          <w:sz w:val="24"/>
          <w:szCs w:val="24"/>
        </w:rPr>
        <w:t xml:space="preserve"> involves junction improvement</w:t>
      </w:r>
      <w:r w:rsidR="000A6EFD" w:rsidRPr="005F53CF">
        <w:rPr>
          <w:rFonts w:ascii="Arial" w:hAnsi="Arial" w:cs="Arial"/>
          <w:sz w:val="24"/>
          <w:szCs w:val="24"/>
        </w:rPr>
        <w:t xml:space="preserve">s </w:t>
      </w:r>
      <w:r w:rsidRPr="005F53CF">
        <w:rPr>
          <w:rFonts w:ascii="Arial" w:hAnsi="Arial" w:cs="Arial"/>
          <w:sz w:val="24"/>
          <w:szCs w:val="24"/>
        </w:rPr>
        <w:t>to ensure they operate more effectively and support future development in the town. The schemes will improve access to the A590, minimise delay on the A590, improve pedestrian and cyclist connectivity within South Ulverston</w:t>
      </w:r>
      <w:r w:rsidR="000A6EFD" w:rsidRPr="005F53CF">
        <w:rPr>
          <w:rFonts w:ascii="Arial" w:hAnsi="Arial" w:cs="Arial"/>
          <w:sz w:val="24"/>
          <w:szCs w:val="24"/>
        </w:rPr>
        <w:t>. £498,000 of Growth Deal investment will be spent in 1</w:t>
      </w:r>
      <w:r w:rsidR="00FC4006" w:rsidRPr="005F53CF">
        <w:rPr>
          <w:rFonts w:ascii="Arial" w:hAnsi="Arial" w:cs="Arial"/>
          <w:sz w:val="24"/>
          <w:szCs w:val="24"/>
        </w:rPr>
        <w:t xml:space="preserve">9/20. </w:t>
      </w:r>
      <w:r w:rsidR="000A6EFD" w:rsidRPr="005F53CF">
        <w:rPr>
          <w:rFonts w:ascii="Arial" w:hAnsi="Arial" w:cs="Arial"/>
          <w:sz w:val="24"/>
          <w:szCs w:val="24"/>
        </w:rPr>
        <w:t>The scheme links closely with the C</w:t>
      </w:r>
      <w:r w:rsidR="00732EC9">
        <w:rPr>
          <w:rFonts w:ascii="Arial" w:hAnsi="Arial" w:cs="Arial"/>
          <w:sz w:val="24"/>
          <w:szCs w:val="24"/>
        </w:rPr>
        <w:t>umbria Infrastructure Fund (C</w:t>
      </w:r>
      <w:r w:rsidR="000A6EFD" w:rsidRPr="005F53CF">
        <w:rPr>
          <w:rFonts w:ascii="Arial" w:hAnsi="Arial" w:cs="Arial"/>
          <w:sz w:val="24"/>
          <w:szCs w:val="24"/>
        </w:rPr>
        <w:t>IF</w:t>
      </w:r>
      <w:r w:rsidR="00732EC9">
        <w:rPr>
          <w:rFonts w:ascii="Arial" w:hAnsi="Arial" w:cs="Arial"/>
          <w:sz w:val="24"/>
          <w:szCs w:val="24"/>
        </w:rPr>
        <w:t>)</w:t>
      </w:r>
      <w:r w:rsidR="000A6EFD" w:rsidRPr="005F53CF">
        <w:rPr>
          <w:rFonts w:ascii="Arial" w:hAnsi="Arial" w:cs="Arial"/>
          <w:sz w:val="24"/>
          <w:szCs w:val="24"/>
        </w:rPr>
        <w:t xml:space="preserve"> Cross a Moor project to support the development of housing and employment land opportunities. </w:t>
      </w:r>
    </w:p>
    <w:p w14:paraId="75AE195B" w14:textId="77777777" w:rsidR="00505EB4" w:rsidRPr="005F53CF" w:rsidRDefault="00505EB4" w:rsidP="00D254E3">
      <w:pPr>
        <w:pStyle w:val="Heading7"/>
        <w:numPr>
          <w:ilvl w:val="0"/>
          <w:numId w:val="0"/>
        </w:numPr>
        <w:ind w:left="1361"/>
        <w:rPr>
          <w:rFonts w:ascii="Arial" w:hAnsi="Arial" w:cs="Arial"/>
          <w:sz w:val="24"/>
          <w:szCs w:val="24"/>
        </w:rPr>
      </w:pPr>
    </w:p>
    <w:p w14:paraId="03B842ED" w14:textId="7CAE0D3E" w:rsidR="00AB7499" w:rsidRPr="005F53CF" w:rsidRDefault="00AB7499" w:rsidP="00AB7499">
      <w:pPr>
        <w:pStyle w:val="Heading5"/>
        <w:rPr>
          <w:rFonts w:ascii="Arial" w:hAnsi="Arial" w:cs="Arial"/>
          <w:sz w:val="24"/>
          <w:szCs w:val="24"/>
        </w:rPr>
      </w:pPr>
      <w:r w:rsidRPr="005F53CF">
        <w:rPr>
          <w:rFonts w:ascii="Arial" w:hAnsi="Arial" w:cs="Arial"/>
          <w:sz w:val="24"/>
          <w:szCs w:val="24"/>
        </w:rPr>
        <w:t xml:space="preserve">In addition to these projects, there are several projects that </w:t>
      </w:r>
      <w:r w:rsidR="00732EC9">
        <w:rPr>
          <w:rFonts w:ascii="Arial" w:hAnsi="Arial" w:cs="Arial"/>
          <w:sz w:val="24"/>
          <w:szCs w:val="24"/>
        </w:rPr>
        <w:t>are</w:t>
      </w:r>
      <w:r w:rsidRPr="005F53CF">
        <w:rPr>
          <w:rFonts w:ascii="Arial" w:hAnsi="Arial" w:cs="Arial"/>
          <w:sz w:val="24"/>
          <w:szCs w:val="24"/>
        </w:rPr>
        <w:t xml:space="preserve"> completed and have claimed all their LGF but where </w:t>
      </w:r>
      <w:r w:rsidR="00080669" w:rsidRPr="005F53CF">
        <w:rPr>
          <w:rFonts w:ascii="Arial" w:hAnsi="Arial" w:cs="Arial"/>
          <w:sz w:val="24"/>
          <w:szCs w:val="24"/>
        </w:rPr>
        <w:t>outputs</w:t>
      </w:r>
      <w:r w:rsidRPr="005F53CF">
        <w:rPr>
          <w:rFonts w:ascii="Arial" w:hAnsi="Arial" w:cs="Arial"/>
          <w:sz w:val="24"/>
          <w:szCs w:val="24"/>
        </w:rPr>
        <w:t xml:space="preserve"> are expected to be </w:t>
      </w:r>
      <w:r w:rsidR="00080669" w:rsidRPr="005F53CF">
        <w:rPr>
          <w:rFonts w:ascii="Arial" w:hAnsi="Arial" w:cs="Arial"/>
          <w:sz w:val="24"/>
          <w:szCs w:val="24"/>
        </w:rPr>
        <w:t>delivered</w:t>
      </w:r>
      <w:r w:rsidRPr="005F53CF">
        <w:rPr>
          <w:rFonts w:ascii="Arial" w:hAnsi="Arial" w:cs="Arial"/>
          <w:sz w:val="24"/>
          <w:szCs w:val="24"/>
        </w:rPr>
        <w:t xml:space="preserve"> in 2019/20. The principle ones are:</w:t>
      </w:r>
    </w:p>
    <w:p w14:paraId="66D3A30C" w14:textId="02C8F308" w:rsidR="00AB7499" w:rsidRPr="005F53CF" w:rsidRDefault="00AB7499" w:rsidP="00AB7499">
      <w:pPr>
        <w:pStyle w:val="Heading7"/>
        <w:rPr>
          <w:rFonts w:ascii="Arial" w:hAnsi="Arial" w:cs="Arial"/>
          <w:sz w:val="24"/>
          <w:szCs w:val="24"/>
        </w:rPr>
      </w:pPr>
      <w:r w:rsidRPr="005F53CF">
        <w:rPr>
          <w:rFonts w:ascii="Arial" w:hAnsi="Arial" w:cs="Arial"/>
          <w:b/>
          <w:sz w:val="24"/>
          <w:szCs w:val="24"/>
        </w:rPr>
        <w:t>Barrow Waterfront</w:t>
      </w:r>
      <w:r w:rsidRPr="005F53CF">
        <w:rPr>
          <w:rFonts w:ascii="Arial" w:hAnsi="Arial" w:cs="Arial"/>
          <w:sz w:val="24"/>
          <w:szCs w:val="24"/>
        </w:rPr>
        <w:t>, where £7.,2 million has been invested by LGF. This has funded site reclamation and improvement work to transform derelict land into a business park for employment and advanced manufacturing growth, including site clearance and levelling, decontamination work, removal of industrial debris, provision of utilities, landscaping and raised earthworks for flood protection measures.</w:t>
      </w:r>
      <w:r w:rsidR="00080669" w:rsidRPr="005F53CF">
        <w:rPr>
          <w:rFonts w:ascii="Arial" w:hAnsi="Arial" w:cs="Arial"/>
          <w:sz w:val="24"/>
          <w:szCs w:val="24"/>
        </w:rPr>
        <w:t xml:space="preserve"> During 2019/20 the LEP forecasts that there will be around 12,600 sqm of further development</w:t>
      </w:r>
      <w:r w:rsidR="00732EC9">
        <w:rPr>
          <w:rFonts w:ascii="Arial" w:hAnsi="Arial" w:cs="Arial"/>
          <w:sz w:val="24"/>
          <w:szCs w:val="24"/>
        </w:rPr>
        <w:t>.</w:t>
      </w:r>
    </w:p>
    <w:p w14:paraId="6022FBFE" w14:textId="2D844775" w:rsidR="00AB7499" w:rsidRPr="005F53CF" w:rsidRDefault="00AB7499" w:rsidP="00AB7499">
      <w:pPr>
        <w:pStyle w:val="Heading7"/>
        <w:rPr>
          <w:rFonts w:ascii="Arial" w:hAnsi="Arial" w:cs="Arial"/>
          <w:sz w:val="24"/>
          <w:szCs w:val="24"/>
        </w:rPr>
      </w:pPr>
      <w:r w:rsidRPr="005F53CF">
        <w:rPr>
          <w:rFonts w:ascii="Arial" w:hAnsi="Arial" w:cs="Arial"/>
          <w:b/>
          <w:sz w:val="24"/>
          <w:szCs w:val="24"/>
        </w:rPr>
        <w:t>Barrow Advanced Manufacturing Centre</w:t>
      </w:r>
      <w:r w:rsidR="00080669" w:rsidRPr="005F53CF">
        <w:rPr>
          <w:rFonts w:ascii="Arial" w:hAnsi="Arial" w:cs="Arial"/>
          <w:sz w:val="24"/>
          <w:szCs w:val="24"/>
        </w:rPr>
        <w:t xml:space="preserve"> at Barrow College has seen £1.13 million of LGF spend and continues to be an important centre for learning activity. </w:t>
      </w:r>
    </w:p>
    <w:p w14:paraId="312912E6" w14:textId="70205BB1" w:rsidR="00272A86" w:rsidRDefault="00AB7499" w:rsidP="00732EC9">
      <w:pPr>
        <w:pStyle w:val="Heading7"/>
        <w:rPr>
          <w:rFonts w:ascii="Arial" w:hAnsi="Arial" w:cs="Arial"/>
          <w:sz w:val="24"/>
          <w:szCs w:val="24"/>
        </w:rPr>
      </w:pPr>
      <w:r w:rsidRPr="005F53CF">
        <w:rPr>
          <w:rFonts w:ascii="Arial" w:hAnsi="Arial" w:cs="Arial"/>
          <w:b/>
          <w:sz w:val="24"/>
          <w:szCs w:val="24"/>
        </w:rPr>
        <w:t>Durranhill</w:t>
      </w:r>
      <w:r w:rsidR="00080669" w:rsidRPr="005F53CF">
        <w:rPr>
          <w:rFonts w:ascii="Arial" w:hAnsi="Arial" w:cs="Arial"/>
          <w:b/>
          <w:sz w:val="24"/>
          <w:szCs w:val="24"/>
        </w:rPr>
        <w:t xml:space="preserve"> Industrial Estate</w:t>
      </w:r>
      <w:r w:rsidR="00080669" w:rsidRPr="005F53CF">
        <w:rPr>
          <w:rFonts w:ascii="Arial" w:hAnsi="Arial" w:cs="Arial"/>
          <w:sz w:val="24"/>
          <w:szCs w:val="24"/>
        </w:rPr>
        <w:t xml:space="preserve"> owned by Carlisle City Council saw £2 million of LGF support for access improvements, site servicing, a new road link and access to release vacant land for development in 2015/16. There continues to be development there with a further 1,500 sqm of new floorspace, 120 new jobs and a further £7 million forecast</w:t>
      </w:r>
      <w:r w:rsidR="00732EC9">
        <w:rPr>
          <w:rFonts w:ascii="Arial" w:hAnsi="Arial" w:cs="Arial"/>
          <w:sz w:val="24"/>
          <w:szCs w:val="24"/>
        </w:rPr>
        <w:t>ed for 2019/20</w:t>
      </w:r>
      <w:r w:rsidR="00080669" w:rsidRPr="005F53CF">
        <w:rPr>
          <w:rFonts w:ascii="Arial" w:hAnsi="Arial" w:cs="Arial"/>
          <w:sz w:val="24"/>
          <w:szCs w:val="24"/>
        </w:rPr>
        <w:t xml:space="preserve">. </w:t>
      </w:r>
    </w:p>
    <w:p w14:paraId="1E0FF9B1" w14:textId="1ECECECA" w:rsidR="0021646E" w:rsidRPr="0021646E" w:rsidRDefault="0021646E" w:rsidP="00732EC9">
      <w:pPr>
        <w:pStyle w:val="Heading7"/>
        <w:rPr>
          <w:rFonts w:ascii="Arial" w:hAnsi="Arial" w:cs="Arial"/>
          <w:sz w:val="24"/>
          <w:szCs w:val="24"/>
        </w:rPr>
      </w:pPr>
      <w:r>
        <w:rPr>
          <w:rFonts w:ascii="Arial" w:hAnsi="Arial" w:cs="Arial"/>
          <w:b/>
          <w:sz w:val="24"/>
          <w:szCs w:val="24"/>
        </w:rPr>
        <w:t xml:space="preserve">Skills Capital 1, </w:t>
      </w:r>
      <w:r w:rsidRPr="00D254E3">
        <w:rPr>
          <w:rFonts w:ascii="Arial" w:hAnsi="Arial" w:cs="Arial"/>
          <w:sz w:val="24"/>
          <w:szCs w:val="24"/>
        </w:rPr>
        <w:t xml:space="preserve">this </w:t>
      </w:r>
      <w:r>
        <w:rPr>
          <w:rFonts w:ascii="Arial" w:hAnsi="Arial" w:cs="Arial"/>
          <w:sz w:val="24"/>
          <w:szCs w:val="24"/>
        </w:rPr>
        <w:t>£2m programme supported a number of key capital improvements across the further and higher education sector</w:t>
      </w:r>
      <w:r w:rsidR="0022462B">
        <w:rPr>
          <w:rFonts w:ascii="Arial" w:hAnsi="Arial" w:cs="Arial"/>
          <w:sz w:val="24"/>
          <w:szCs w:val="24"/>
        </w:rPr>
        <w:t xml:space="preserve"> to meet employer demands.  The programme included investments at Carlisle College, Kendal College, University of Cumbria, Furness College and </w:t>
      </w:r>
      <w:proofErr w:type="spellStart"/>
      <w:r w:rsidR="0022462B">
        <w:rPr>
          <w:rFonts w:ascii="Arial" w:hAnsi="Arial" w:cs="Arial"/>
          <w:sz w:val="24"/>
          <w:szCs w:val="24"/>
        </w:rPr>
        <w:t>Askham</w:t>
      </w:r>
      <w:proofErr w:type="spellEnd"/>
      <w:r w:rsidR="0022462B">
        <w:rPr>
          <w:rFonts w:ascii="Arial" w:hAnsi="Arial" w:cs="Arial"/>
          <w:sz w:val="24"/>
          <w:szCs w:val="24"/>
        </w:rPr>
        <w:t xml:space="preserve"> Bryan College.  </w:t>
      </w:r>
      <w:r w:rsidR="00DF60AD">
        <w:rPr>
          <w:rFonts w:ascii="Arial" w:hAnsi="Arial" w:cs="Arial"/>
          <w:sz w:val="24"/>
          <w:szCs w:val="24"/>
        </w:rPr>
        <w:t>To date the programme has delivered 4,756 learning opportunities and is programmed to deliver a further 825 in 2019/20.</w:t>
      </w:r>
    </w:p>
    <w:p w14:paraId="5BF44636" w14:textId="2D6FC8FA" w:rsidR="00E37998" w:rsidRDefault="00E37998" w:rsidP="00732EC9">
      <w:pPr>
        <w:pStyle w:val="Heading5"/>
        <w:rPr>
          <w:rFonts w:ascii="Arial" w:hAnsi="Arial" w:cs="Arial"/>
          <w:sz w:val="24"/>
          <w:szCs w:val="24"/>
        </w:rPr>
      </w:pPr>
      <w:r w:rsidRPr="00732EC9">
        <w:rPr>
          <w:rFonts w:ascii="Arial" w:hAnsi="Arial" w:cs="Arial"/>
          <w:sz w:val="24"/>
          <w:szCs w:val="24"/>
        </w:rPr>
        <w:t xml:space="preserve">Two projects have </w:t>
      </w:r>
      <w:r w:rsidR="00732EC9" w:rsidRPr="00732EC9">
        <w:rPr>
          <w:rFonts w:ascii="Arial" w:hAnsi="Arial" w:cs="Arial"/>
          <w:sz w:val="24"/>
          <w:szCs w:val="24"/>
        </w:rPr>
        <w:t xml:space="preserve">recently </w:t>
      </w:r>
      <w:r w:rsidRPr="00732EC9">
        <w:rPr>
          <w:rFonts w:ascii="Arial" w:hAnsi="Arial" w:cs="Arial"/>
          <w:sz w:val="24"/>
          <w:szCs w:val="24"/>
        </w:rPr>
        <w:t xml:space="preserve">withdrawn from the Growth Deal programme (Atlas Concrete and </w:t>
      </w:r>
      <w:proofErr w:type="spellStart"/>
      <w:r w:rsidRPr="00732EC9">
        <w:rPr>
          <w:rFonts w:ascii="Arial" w:hAnsi="Arial" w:cs="Arial"/>
          <w:sz w:val="24"/>
          <w:szCs w:val="24"/>
        </w:rPr>
        <w:t>Lil</w:t>
      </w:r>
      <w:r w:rsidR="00312EDD" w:rsidRPr="00732EC9">
        <w:rPr>
          <w:rFonts w:ascii="Arial" w:hAnsi="Arial" w:cs="Arial"/>
          <w:sz w:val="24"/>
          <w:szCs w:val="24"/>
        </w:rPr>
        <w:t>l</w:t>
      </w:r>
      <w:r w:rsidRPr="00732EC9">
        <w:rPr>
          <w:rFonts w:ascii="Arial" w:hAnsi="Arial" w:cs="Arial"/>
          <w:sz w:val="24"/>
          <w:szCs w:val="24"/>
        </w:rPr>
        <w:t>yhall</w:t>
      </w:r>
      <w:proofErr w:type="spellEnd"/>
      <w:r w:rsidRPr="00732EC9">
        <w:rPr>
          <w:rFonts w:ascii="Arial" w:hAnsi="Arial" w:cs="Arial"/>
          <w:sz w:val="24"/>
          <w:szCs w:val="24"/>
        </w:rPr>
        <w:t xml:space="preserve"> North</w:t>
      </w:r>
      <w:r w:rsidR="00732EC9" w:rsidRPr="00732EC9">
        <w:rPr>
          <w:rFonts w:ascii="Arial" w:hAnsi="Arial" w:cs="Arial"/>
          <w:sz w:val="24"/>
          <w:szCs w:val="24"/>
        </w:rPr>
        <w:t>). This has created the opportunity for</w:t>
      </w:r>
      <w:r w:rsidRPr="00732EC9">
        <w:rPr>
          <w:rFonts w:ascii="Arial" w:hAnsi="Arial" w:cs="Arial"/>
          <w:sz w:val="24"/>
          <w:szCs w:val="24"/>
        </w:rPr>
        <w:t xml:space="preserve"> new projects to be incorporated</w:t>
      </w:r>
      <w:r w:rsidR="00732EC9" w:rsidRPr="00732EC9">
        <w:rPr>
          <w:rFonts w:ascii="Arial" w:hAnsi="Arial" w:cs="Arial"/>
          <w:sz w:val="24"/>
          <w:szCs w:val="24"/>
        </w:rPr>
        <w:t xml:space="preserve"> into the programme</w:t>
      </w:r>
      <w:r w:rsidRPr="00732EC9">
        <w:rPr>
          <w:rFonts w:ascii="Arial" w:hAnsi="Arial" w:cs="Arial"/>
          <w:sz w:val="24"/>
          <w:szCs w:val="24"/>
        </w:rPr>
        <w:t>.</w:t>
      </w:r>
    </w:p>
    <w:p w14:paraId="45367868" w14:textId="21D49B77" w:rsidR="00E37998" w:rsidRDefault="00E37998" w:rsidP="00732EC9">
      <w:pPr>
        <w:pStyle w:val="Heading5"/>
        <w:rPr>
          <w:rFonts w:ascii="Arial" w:hAnsi="Arial" w:cs="Arial"/>
          <w:sz w:val="24"/>
          <w:szCs w:val="24"/>
        </w:rPr>
      </w:pPr>
      <w:r w:rsidRPr="00732EC9">
        <w:rPr>
          <w:rFonts w:ascii="Arial" w:hAnsi="Arial" w:cs="Arial"/>
          <w:sz w:val="24"/>
          <w:szCs w:val="24"/>
        </w:rPr>
        <w:t xml:space="preserve">The Board has endorsed the inclusion of </w:t>
      </w:r>
      <w:r w:rsidR="00732EC9" w:rsidRPr="00732EC9">
        <w:rPr>
          <w:rFonts w:ascii="Arial" w:hAnsi="Arial" w:cs="Arial"/>
          <w:sz w:val="24"/>
          <w:szCs w:val="24"/>
        </w:rPr>
        <w:t xml:space="preserve">an Outline Business Case for </w:t>
      </w:r>
      <w:r w:rsidRPr="00732EC9">
        <w:rPr>
          <w:rFonts w:ascii="Arial" w:hAnsi="Arial" w:cs="Arial"/>
          <w:sz w:val="24"/>
          <w:szCs w:val="24"/>
        </w:rPr>
        <w:t xml:space="preserve">the A595 Grizebeck development scheme. This business case responds to the announcement in October 2018 by the Secretary of State </w:t>
      </w:r>
      <w:r w:rsidR="00732EC9" w:rsidRPr="00732EC9">
        <w:rPr>
          <w:rFonts w:ascii="Arial" w:hAnsi="Arial" w:cs="Arial"/>
          <w:sz w:val="24"/>
          <w:szCs w:val="24"/>
        </w:rPr>
        <w:t xml:space="preserve">on </w:t>
      </w:r>
      <w:r w:rsidRPr="00732EC9">
        <w:rPr>
          <w:rFonts w:ascii="Arial" w:hAnsi="Arial" w:cs="Arial"/>
          <w:sz w:val="24"/>
          <w:szCs w:val="24"/>
        </w:rPr>
        <w:t>the delivery of improvements to the A595 at Grizebeck</w:t>
      </w:r>
      <w:r w:rsidR="00732EC9" w:rsidRPr="00732EC9">
        <w:rPr>
          <w:rFonts w:ascii="Arial" w:hAnsi="Arial" w:cs="Arial"/>
          <w:sz w:val="24"/>
          <w:szCs w:val="24"/>
        </w:rPr>
        <w:t xml:space="preserve">, which </w:t>
      </w:r>
      <w:r w:rsidRPr="00732EC9">
        <w:rPr>
          <w:rFonts w:ascii="Arial" w:hAnsi="Arial" w:cs="Arial"/>
          <w:sz w:val="24"/>
          <w:szCs w:val="24"/>
        </w:rPr>
        <w:t>would be one of the first five schemes to be considered for funding through the Major Roads Network. The proposal seeks to deliver an upgrade to a section of the A595 linking south and west Cumbria.</w:t>
      </w:r>
    </w:p>
    <w:p w14:paraId="55B6121C" w14:textId="005884C2" w:rsidR="00E37998" w:rsidRDefault="00E37998" w:rsidP="00732EC9">
      <w:pPr>
        <w:pStyle w:val="Heading5"/>
        <w:rPr>
          <w:rFonts w:ascii="Arial" w:hAnsi="Arial" w:cs="Arial"/>
          <w:sz w:val="24"/>
          <w:szCs w:val="24"/>
        </w:rPr>
      </w:pPr>
      <w:r w:rsidRPr="00732EC9">
        <w:rPr>
          <w:rFonts w:ascii="Arial" w:hAnsi="Arial" w:cs="Arial"/>
          <w:sz w:val="24"/>
          <w:szCs w:val="24"/>
        </w:rPr>
        <w:t xml:space="preserve">The cost of this scheme is anticipated to be in the region of £15m and will be confirmed upon submission of an Outline Business Case. A requirement of funding </w:t>
      </w:r>
      <w:r w:rsidR="00732EC9" w:rsidRPr="00732EC9">
        <w:rPr>
          <w:rFonts w:ascii="Arial" w:hAnsi="Arial" w:cs="Arial"/>
          <w:sz w:val="24"/>
          <w:szCs w:val="24"/>
        </w:rPr>
        <w:t xml:space="preserve">from government </w:t>
      </w:r>
      <w:r w:rsidRPr="00732EC9">
        <w:rPr>
          <w:rFonts w:ascii="Arial" w:hAnsi="Arial" w:cs="Arial"/>
          <w:sz w:val="24"/>
          <w:szCs w:val="24"/>
        </w:rPr>
        <w:t>is a 15% contribution from local partners. An allocation of £2.25m has been committed to this scheme within the Growth De</w:t>
      </w:r>
      <w:r w:rsidR="005011AF">
        <w:rPr>
          <w:rFonts w:ascii="Arial" w:hAnsi="Arial" w:cs="Arial"/>
          <w:sz w:val="24"/>
          <w:szCs w:val="24"/>
        </w:rPr>
        <w:t>/</w:t>
      </w:r>
      <w:r w:rsidRPr="00732EC9">
        <w:rPr>
          <w:rFonts w:ascii="Arial" w:hAnsi="Arial" w:cs="Arial"/>
          <w:sz w:val="24"/>
          <w:szCs w:val="24"/>
        </w:rPr>
        <w:t xml:space="preserve">al programme, subject to the business case approval process. </w:t>
      </w:r>
    </w:p>
    <w:p w14:paraId="44E19E54" w14:textId="3E363E67" w:rsidR="00E37998" w:rsidRPr="00A8242C" w:rsidRDefault="00732EC9" w:rsidP="00732EC9">
      <w:pPr>
        <w:pStyle w:val="Heading5"/>
        <w:rPr>
          <w:rFonts w:ascii="Arial" w:hAnsi="Arial" w:cs="Arial"/>
          <w:sz w:val="24"/>
          <w:szCs w:val="24"/>
        </w:rPr>
      </w:pPr>
      <w:r w:rsidRPr="00A8242C">
        <w:rPr>
          <w:rFonts w:ascii="Arial" w:hAnsi="Arial" w:cs="Arial"/>
          <w:sz w:val="24"/>
          <w:szCs w:val="24"/>
        </w:rPr>
        <w:t>CL</w:t>
      </w:r>
      <w:r w:rsidR="00E37998" w:rsidRPr="00A8242C">
        <w:rPr>
          <w:rFonts w:ascii="Arial" w:hAnsi="Arial" w:cs="Arial"/>
          <w:sz w:val="24"/>
          <w:szCs w:val="24"/>
        </w:rPr>
        <w:t xml:space="preserve">EP is also working </w:t>
      </w:r>
      <w:r w:rsidR="007051FA" w:rsidRPr="00A8242C">
        <w:rPr>
          <w:rFonts w:ascii="Arial" w:hAnsi="Arial" w:cs="Arial"/>
          <w:sz w:val="24"/>
          <w:szCs w:val="24"/>
        </w:rPr>
        <w:t xml:space="preserve">to progress the </w:t>
      </w:r>
      <w:r w:rsidR="006E0CFD" w:rsidRPr="00A8242C">
        <w:rPr>
          <w:rFonts w:ascii="Arial" w:hAnsi="Arial" w:cs="Arial"/>
          <w:sz w:val="24"/>
          <w:szCs w:val="24"/>
        </w:rPr>
        <w:t xml:space="preserve">£1,160,000 </w:t>
      </w:r>
      <w:r w:rsidR="007051FA" w:rsidRPr="00A8242C">
        <w:rPr>
          <w:rFonts w:ascii="Arial" w:hAnsi="Arial" w:cs="Arial"/>
          <w:sz w:val="24"/>
          <w:szCs w:val="24"/>
        </w:rPr>
        <w:t xml:space="preserve">Skills Capital 2 programme </w:t>
      </w:r>
      <w:r w:rsidR="006E0CFD" w:rsidRPr="00A8242C">
        <w:rPr>
          <w:rFonts w:ascii="Arial" w:hAnsi="Arial" w:cs="Arial"/>
          <w:sz w:val="24"/>
          <w:szCs w:val="24"/>
        </w:rPr>
        <w:t xml:space="preserve">to ensure that projects can be supported that align with both Local Industrial Strategy and the Skills Investment Plan.  </w:t>
      </w:r>
      <w:r w:rsidR="004330F8" w:rsidRPr="00A8242C">
        <w:rPr>
          <w:rFonts w:ascii="Arial" w:hAnsi="Arial" w:cs="Arial"/>
          <w:sz w:val="24"/>
          <w:szCs w:val="24"/>
        </w:rPr>
        <w:t xml:space="preserve">In addition, development is accelerating on the Citadels project in Carlisle following the UK and Scottish </w:t>
      </w:r>
      <w:r w:rsidR="00351751" w:rsidRPr="00A8242C">
        <w:rPr>
          <w:rFonts w:ascii="Arial" w:hAnsi="Arial" w:cs="Arial"/>
          <w:sz w:val="24"/>
          <w:szCs w:val="24"/>
        </w:rPr>
        <w:t>Government’s support for the Borderlands Inclusive Growth Deal</w:t>
      </w:r>
      <w:r w:rsidR="007519D5" w:rsidRPr="00A8242C">
        <w:rPr>
          <w:rFonts w:ascii="Arial" w:hAnsi="Arial" w:cs="Arial"/>
          <w:sz w:val="24"/>
          <w:szCs w:val="24"/>
        </w:rPr>
        <w:t xml:space="preserve">.  </w:t>
      </w:r>
    </w:p>
    <w:p w14:paraId="36EC3A73" w14:textId="58568A20" w:rsidR="00EA2705" w:rsidRPr="008564EC" w:rsidRDefault="009609A2" w:rsidP="0036567A">
      <w:pPr>
        <w:pStyle w:val="Heading4"/>
        <w:ind w:left="0"/>
        <w:rPr>
          <w:rFonts w:ascii="Arial" w:hAnsi="Arial" w:cs="Arial"/>
          <w:b/>
          <w:i w:val="0"/>
          <w:szCs w:val="24"/>
        </w:rPr>
      </w:pPr>
      <w:r w:rsidRPr="008564EC">
        <w:rPr>
          <w:rFonts w:ascii="Arial" w:hAnsi="Arial" w:cs="Arial"/>
          <w:b/>
          <w:i w:val="0"/>
          <w:szCs w:val="24"/>
        </w:rPr>
        <w:t xml:space="preserve">Monitoring and </w:t>
      </w:r>
      <w:r w:rsidR="008564EC">
        <w:rPr>
          <w:rFonts w:ascii="Arial" w:hAnsi="Arial" w:cs="Arial"/>
          <w:b/>
          <w:i w:val="0"/>
          <w:szCs w:val="24"/>
        </w:rPr>
        <w:t>E</w:t>
      </w:r>
      <w:r w:rsidRPr="008564EC">
        <w:rPr>
          <w:rFonts w:ascii="Arial" w:hAnsi="Arial" w:cs="Arial"/>
          <w:b/>
          <w:i w:val="0"/>
          <w:szCs w:val="24"/>
        </w:rPr>
        <w:t>valuation of the LGF</w:t>
      </w:r>
    </w:p>
    <w:p w14:paraId="2DE52C89" w14:textId="7E13A318" w:rsidR="005011AF" w:rsidRDefault="008564EC" w:rsidP="008564EC">
      <w:pPr>
        <w:pStyle w:val="Heading5"/>
        <w:jc w:val="left"/>
        <w:rPr>
          <w:rFonts w:ascii="Arial" w:hAnsi="Arial" w:cs="Arial"/>
          <w:sz w:val="24"/>
          <w:szCs w:val="24"/>
        </w:rPr>
      </w:pPr>
      <w:r>
        <w:rPr>
          <w:rFonts w:ascii="Arial" w:hAnsi="Arial" w:cs="Arial"/>
          <w:sz w:val="24"/>
          <w:szCs w:val="24"/>
        </w:rPr>
        <w:t xml:space="preserve">CLEP completed a major piece of work to introduce revised monitoring and evaluation plans with complete and live projects, to ensure more effective reporting of outputs, outcomes and impacts. </w:t>
      </w:r>
      <w:r w:rsidR="005011AF">
        <w:rPr>
          <w:rFonts w:ascii="Arial" w:hAnsi="Arial" w:cs="Arial"/>
          <w:sz w:val="24"/>
          <w:szCs w:val="24"/>
        </w:rPr>
        <w:t xml:space="preserve">This piece of work resulted in a significant improvement in outputs as it identified issues of significant under reporting, particularly of jobs. These new plans place a greater focus on post completion reporting of benefits, including the personnel, methodology and documentation involved in recording of outputs and outcomes. The focus in </w:t>
      </w:r>
    </w:p>
    <w:p w14:paraId="539B5370" w14:textId="77777777" w:rsidR="00556E68" w:rsidRDefault="008564EC" w:rsidP="008564EC">
      <w:pPr>
        <w:pStyle w:val="Heading5"/>
        <w:jc w:val="left"/>
        <w:rPr>
          <w:rFonts w:ascii="Arial" w:hAnsi="Arial" w:cs="Arial"/>
          <w:sz w:val="24"/>
          <w:szCs w:val="24"/>
        </w:rPr>
      </w:pPr>
      <w:r>
        <w:rPr>
          <w:rFonts w:ascii="Arial" w:hAnsi="Arial" w:cs="Arial"/>
          <w:sz w:val="24"/>
          <w:szCs w:val="24"/>
        </w:rPr>
        <w:t xml:space="preserve">CLEP has </w:t>
      </w:r>
      <w:r w:rsidR="005011AF">
        <w:rPr>
          <w:rFonts w:ascii="Arial" w:hAnsi="Arial" w:cs="Arial"/>
          <w:sz w:val="24"/>
          <w:szCs w:val="24"/>
        </w:rPr>
        <w:t>also re</w:t>
      </w:r>
      <w:r>
        <w:rPr>
          <w:rFonts w:ascii="Arial" w:hAnsi="Arial" w:cs="Arial"/>
          <w:sz w:val="24"/>
          <w:szCs w:val="24"/>
        </w:rPr>
        <w:t>view</w:t>
      </w:r>
      <w:r w:rsidR="005011AF">
        <w:rPr>
          <w:rFonts w:ascii="Arial" w:hAnsi="Arial" w:cs="Arial"/>
          <w:sz w:val="24"/>
          <w:szCs w:val="24"/>
        </w:rPr>
        <w:t>ed</w:t>
      </w:r>
      <w:r>
        <w:rPr>
          <w:rFonts w:ascii="Arial" w:hAnsi="Arial" w:cs="Arial"/>
          <w:sz w:val="24"/>
          <w:szCs w:val="24"/>
        </w:rPr>
        <w:t xml:space="preserve"> its approach to </w:t>
      </w:r>
      <w:r w:rsidR="005011AF">
        <w:rPr>
          <w:rFonts w:ascii="Arial" w:hAnsi="Arial" w:cs="Arial"/>
          <w:sz w:val="24"/>
          <w:szCs w:val="24"/>
        </w:rPr>
        <w:t xml:space="preserve">the utilisation of </w:t>
      </w:r>
      <w:r>
        <w:rPr>
          <w:rFonts w:ascii="Arial" w:hAnsi="Arial" w:cs="Arial"/>
          <w:sz w:val="24"/>
          <w:szCs w:val="24"/>
        </w:rPr>
        <w:t>LGF to consider how this can increasingly be aligned with the Local Industrial Strategy and the priorities within this, recognising that this cannot distract from the delivery of the outputs in the BEIS offer letter</w:t>
      </w:r>
      <w:r w:rsidR="005011AF">
        <w:rPr>
          <w:rFonts w:ascii="Arial" w:hAnsi="Arial" w:cs="Arial"/>
          <w:sz w:val="24"/>
          <w:szCs w:val="24"/>
        </w:rPr>
        <w:t xml:space="preserve">. This requires careful consideration as </w:t>
      </w:r>
      <w:r>
        <w:rPr>
          <w:rFonts w:ascii="Arial" w:hAnsi="Arial" w:cs="Arial"/>
          <w:sz w:val="24"/>
          <w:szCs w:val="24"/>
        </w:rPr>
        <w:t xml:space="preserve">for example </w:t>
      </w:r>
      <w:r w:rsidR="005011AF">
        <w:rPr>
          <w:rFonts w:ascii="Arial" w:hAnsi="Arial" w:cs="Arial"/>
          <w:sz w:val="24"/>
          <w:szCs w:val="24"/>
        </w:rPr>
        <w:t xml:space="preserve">job creation is not always immediately reconcilable with </w:t>
      </w:r>
      <w:r>
        <w:rPr>
          <w:rFonts w:ascii="Arial" w:hAnsi="Arial" w:cs="Arial"/>
          <w:sz w:val="24"/>
          <w:szCs w:val="24"/>
        </w:rPr>
        <w:t>productivity improvements</w:t>
      </w:r>
      <w:r w:rsidR="005011AF">
        <w:rPr>
          <w:rFonts w:ascii="Arial" w:hAnsi="Arial" w:cs="Arial"/>
          <w:sz w:val="24"/>
          <w:szCs w:val="24"/>
        </w:rPr>
        <w:t xml:space="preserve">. The priority in 2019/20 is to focus remaining investments on those outcomes that are required to deliver those outcomes that have the smallest levels of over-contracting e.g. new homes. However, at this stage in the process the key consideration is deliverability. </w:t>
      </w:r>
    </w:p>
    <w:p w14:paraId="332D3E7D" w14:textId="335BFAE8" w:rsidR="009609A2" w:rsidRDefault="00556E68" w:rsidP="008564EC">
      <w:pPr>
        <w:pStyle w:val="Heading5"/>
        <w:jc w:val="left"/>
        <w:rPr>
          <w:rFonts w:ascii="Arial" w:hAnsi="Arial" w:cs="Arial"/>
          <w:sz w:val="24"/>
          <w:szCs w:val="24"/>
        </w:rPr>
      </w:pPr>
      <w:r>
        <w:rPr>
          <w:rFonts w:ascii="Arial" w:hAnsi="Arial" w:cs="Arial"/>
          <w:sz w:val="24"/>
          <w:szCs w:val="24"/>
        </w:rPr>
        <w:t xml:space="preserve">A major priority in 2019/20 will be to undertake an economic impact assessment on LGF, which has commenced and will be accelerated once government provides guidance on programme evaluation requirements. </w:t>
      </w:r>
      <w:r w:rsidR="008564EC">
        <w:rPr>
          <w:rFonts w:ascii="Arial" w:hAnsi="Arial" w:cs="Arial"/>
          <w:sz w:val="24"/>
          <w:szCs w:val="24"/>
        </w:rPr>
        <w:br/>
      </w:r>
    </w:p>
    <w:p w14:paraId="58BD5588" w14:textId="2C9B68C5" w:rsidR="00885B83" w:rsidRPr="00436254" w:rsidRDefault="00885B83" w:rsidP="00EA2705">
      <w:pPr>
        <w:pStyle w:val="Heading1"/>
        <w:rPr>
          <w:rFonts w:cs="Arial"/>
        </w:rPr>
      </w:pPr>
      <w:r w:rsidRPr="00436254">
        <w:rPr>
          <w:rFonts w:cs="Arial"/>
        </w:rPr>
        <w:t>Other Funding or Growth Programme</w:t>
      </w:r>
      <w:r w:rsidR="0039633A" w:rsidRPr="00436254">
        <w:rPr>
          <w:rFonts w:cs="Arial"/>
        </w:rPr>
        <w:t>s</w:t>
      </w:r>
    </w:p>
    <w:p w14:paraId="2D46F3C9" w14:textId="58287A0B" w:rsidR="0036567A" w:rsidRPr="0078326A" w:rsidRDefault="0078326A" w:rsidP="0078326A">
      <w:pPr>
        <w:pStyle w:val="Heading2"/>
        <w:ind w:left="0"/>
        <w:rPr>
          <w:rFonts w:ascii="Arial" w:hAnsi="Arial" w:cs="Arial"/>
          <w:i w:val="0"/>
          <w:sz w:val="24"/>
          <w:szCs w:val="24"/>
        </w:rPr>
      </w:pPr>
      <w:r w:rsidRPr="0078326A">
        <w:rPr>
          <w:rFonts w:ascii="Arial" w:hAnsi="Arial" w:cs="Arial"/>
          <w:i w:val="0"/>
          <w:sz w:val="24"/>
          <w:szCs w:val="24"/>
        </w:rPr>
        <w:t>ESIF</w:t>
      </w:r>
      <w:r w:rsidR="005011AF" w:rsidRPr="0078326A">
        <w:rPr>
          <w:rFonts w:ascii="Arial" w:hAnsi="Arial" w:cs="Arial"/>
          <w:i w:val="0"/>
          <w:sz w:val="24"/>
          <w:szCs w:val="24"/>
        </w:rPr>
        <w:t xml:space="preserve"> </w:t>
      </w:r>
    </w:p>
    <w:p w14:paraId="5202E93A" w14:textId="160326FC" w:rsidR="00A60A85" w:rsidRDefault="00A60A85" w:rsidP="0078326A">
      <w:pPr>
        <w:pStyle w:val="Heading2"/>
        <w:ind w:left="0"/>
        <w:rPr>
          <w:rFonts w:ascii="Arial" w:hAnsi="Arial" w:cs="Arial"/>
          <w:sz w:val="24"/>
          <w:szCs w:val="24"/>
        </w:rPr>
      </w:pPr>
      <w:r w:rsidRPr="005F53CF">
        <w:rPr>
          <w:rFonts w:ascii="Arial" w:hAnsi="Arial" w:cs="Arial"/>
          <w:sz w:val="24"/>
          <w:szCs w:val="24"/>
        </w:rPr>
        <w:t xml:space="preserve">CLEP relies on reporting from central government in terms of progress of ESIF supported activity in Cumbria. It plays an active role in publicising the programme and its opportunities. </w:t>
      </w:r>
      <w:r w:rsidR="008B5470">
        <w:rPr>
          <w:rFonts w:ascii="Arial" w:hAnsi="Arial" w:cs="Arial"/>
          <w:sz w:val="24"/>
          <w:szCs w:val="24"/>
        </w:rPr>
        <w:br/>
      </w:r>
    </w:p>
    <w:p w14:paraId="11FB5788" w14:textId="77777777" w:rsidR="0036567A" w:rsidRPr="0036567A" w:rsidRDefault="0036567A" w:rsidP="0036567A">
      <w:pPr>
        <w:pStyle w:val="Heading5"/>
        <w:numPr>
          <w:ilvl w:val="0"/>
          <w:numId w:val="0"/>
        </w:numPr>
        <w:ind w:left="680"/>
      </w:pPr>
    </w:p>
    <w:p w14:paraId="600FE803" w14:textId="1A82EBBC" w:rsidR="008B5470" w:rsidRPr="0078326A" w:rsidRDefault="008B5470" w:rsidP="0078326A">
      <w:pPr>
        <w:pStyle w:val="Heading2"/>
        <w:ind w:left="0"/>
        <w:rPr>
          <w:rFonts w:ascii="Arial" w:hAnsi="Arial" w:cs="Arial"/>
          <w:sz w:val="24"/>
          <w:szCs w:val="24"/>
        </w:rPr>
      </w:pPr>
      <w:r w:rsidRPr="0078326A">
        <w:rPr>
          <w:rFonts w:ascii="Arial" w:hAnsi="Arial" w:cs="Arial"/>
          <w:sz w:val="24"/>
          <w:szCs w:val="24"/>
        </w:rPr>
        <w:t>ERDF</w:t>
      </w:r>
    </w:p>
    <w:p w14:paraId="54BA3B26" w14:textId="3AA29A25" w:rsidR="00A60A85" w:rsidRPr="0036567A" w:rsidRDefault="00A60A85" w:rsidP="00A60A85">
      <w:pPr>
        <w:pStyle w:val="Heading5"/>
        <w:rPr>
          <w:rFonts w:ascii="Arial" w:hAnsi="Arial" w:cs="Arial"/>
          <w:sz w:val="24"/>
          <w:szCs w:val="24"/>
        </w:rPr>
      </w:pPr>
      <w:r w:rsidRPr="0036567A">
        <w:rPr>
          <w:rFonts w:ascii="Arial" w:hAnsi="Arial" w:cs="Arial"/>
          <w:sz w:val="24"/>
          <w:szCs w:val="24"/>
        </w:rPr>
        <w:t xml:space="preserve">Based on current exchange rates Cumbria has an allocation of £49.4 million of ERDF. As of </w:t>
      </w:r>
      <w:r w:rsidR="0081298A" w:rsidRPr="0036567A">
        <w:rPr>
          <w:rFonts w:ascii="Arial" w:hAnsi="Arial" w:cs="Arial"/>
          <w:sz w:val="24"/>
          <w:szCs w:val="24"/>
        </w:rPr>
        <w:t xml:space="preserve">April </w:t>
      </w:r>
      <w:r w:rsidRPr="0036567A">
        <w:rPr>
          <w:rFonts w:ascii="Arial" w:hAnsi="Arial" w:cs="Arial"/>
          <w:sz w:val="24"/>
          <w:szCs w:val="24"/>
        </w:rPr>
        <w:t>2019, across the whole programme £3</w:t>
      </w:r>
      <w:r w:rsidR="00483EC6" w:rsidRPr="0036567A">
        <w:rPr>
          <w:rFonts w:ascii="Arial" w:hAnsi="Arial" w:cs="Arial"/>
          <w:sz w:val="24"/>
          <w:szCs w:val="24"/>
        </w:rPr>
        <w:t>4</w:t>
      </w:r>
      <w:r w:rsidRPr="0036567A">
        <w:rPr>
          <w:rFonts w:ascii="Arial" w:hAnsi="Arial" w:cs="Arial"/>
          <w:sz w:val="24"/>
          <w:szCs w:val="24"/>
        </w:rPr>
        <w:t>.</w:t>
      </w:r>
      <w:r w:rsidR="00483EC6" w:rsidRPr="0036567A">
        <w:rPr>
          <w:rFonts w:ascii="Arial" w:hAnsi="Arial" w:cs="Arial"/>
          <w:sz w:val="24"/>
          <w:szCs w:val="24"/>
        </w:rPr>
        <w:t>3</w:t>
      </w:r>
      <w:r w:rsidRPr="0036567A">
        <w:rPr>
          <w:rFonts w:ascii="Arial" w:hAnsi="Arial" w:cs="Arial"/>
          <w:sz w:val="24"/>
          <w:szCs w:val="24"/>
        </w:rPr>
        <w:t>4 million of this allocation was contracted or in application stage with a total value of projects of £1</w:t>
      </w:r>
      <w:r w:rsidR="00483EC6" w:rsidRPr="0036567A">
        <w:rPr>
          <w:rFonts w:ascii="Arial" w:hAnsi="Arial" w:cs="Arial"/>
          <w:sz w:val="24"/>
          <w:szCs w:val="24"/>
        </w:rPr>
        <w:t>0</w:t>
      </w:r>
      <w:r w:rsidRPr="0036567A">
        <w:rPr>
          <w:rFonts w:ascii="Arial" w:hAnsi="Arial" w:cs="Arial"/>
          <w:sz w:val="24"/>
          <w:szCs w:val="24"/>
        </w:rPr>
        <w:t xml:space="preserve">8m including match funding: </w:t>
      </w:r>
    </w:p>
    <w:p w14:paraId="077BFBEC" w14:textId="754EE1A0" w:rsidR="00A60A85" w:rsidRPr="0036567A" w:rsidRDefault="00A60A85" w:rsidP="00A60A85">
      <w:pPr>
        <w:pStyle w:val="Heading7"/>
        <w:numPr>
          <w:ilvl w:val="0"/>
          <w:numId w:val="44"/>
        </w:numPr>
        <w:rPr>
          <w:rFonts w:ascii="Arial" w:hAnsi="Arial" w:cs="Arial"/>
          <w:sz w:val="24"/>
          <w:szCs w:val="24"/>
        </w:rPr>
      </w:pPr>
      <w:r w:rsidRPr="0036567A">
        <w:rPr>
          <w:rFonts w:ascii="Arial" w:hAnsi="Arial" w:cs="Arial"/>
          <w:sz w:val="24"/>
          <w:szCs w:val="24"/>
        </w:rPr>
        <w:t>£</w:t>
      </w:r>
      <w:r w:rsidR="00B229AF" w:rsidRPr="0036567A">
        <w:rPr>
          <w:rFonts w:ascii="Arial" w:hAnsi="Arial" w:cs="Arial"/>
          <w:sz w:val="24"/>
          <w:szCs w:val="24"/>
        </w:rPr>
        <w:t>26.4</w:t>
      </w:r>
      <w:r w:rsidRPr="0036567A">
        <w:rPr>
          <w:rFonts w:ascii="Arial" w:hAnsi="Arial" w:cs="Arial"/>
          <w:sz w:val="24"/>
          <w:szCs w:val="24"/>
        </w:rPr>
        <w:t xml:space="preserve"> million (</w:t>
      </w:r>
      <w:r w:rsidR="0090481E" w:rsidRPr="0036567A">
        <w:rPr>
          <w:rFonts w:ascii="Arial" w:hAnsi="Arial" w:cs="Arial"/>
          <w:sz w:val="24"/>
          <w:szCs w:val="24"/>
        </w:rPr>
        <w:t>53</w:t>
      </w:r>
      <w:r w:rsidRPr="0036567A">
        <w:rPr>
          <w:rFonts w:ascii="Arial" w:hAnsi="Arial" w:cs="Arial"/>
          <w:sz w:val="24"/>
          <w:szCs w:val="24"/>
        </w:rPr>
        <w:t>%) was contracted</w:t>
      </w:r>
    </w:p>
    <w:p w14:paraId="3A7C3B6A" w14:textId="26ADB182" w:rsidR="00A60A85" w:rsidRPr="0036567A" w:rsidRDefault="00A60A85" w:rsidP="00A60A85">
      <w:pPr>
        <w:pStyle w:val="Heading7"/>
        <w:numPr>
          <w:ilvl w:val="0"/>
          <w:numId w:val="44"/>
        </w:numPr>
        <w:rPr>
          <w:rFonts w:ascii="Arial" w:hAnsi="Arial" w:cs="Arial"/>
          <w:sz w:val="24"/>
          <w:szCs w:val="24"/>
        </w:rPr>
      </w:pPr>
      <w:r w:rsidRPr="0036567A">
        <w:rPr>
          <w:rFonts w:ascii="Arial" w:hAnsi="Arial" w:cs="Arial"/>
          <w:sz w:val="24"/>
          <w:szCs w:val="24"/>
        </w:rPr>
        <w:t>£</w:t>
      </w:r>
      <w:r w:rsidR="0090481E" w:rsidRPr="0036567A">
        <w:rPr>
          <w:rFonts w:ascii="Arial" w:hAnsi="Arial" w:cs="Arial"/>
          <w:sz w:val="24"/>
          <w:szCs w:val="24"/>
        </w:rPr>
        <w:t>0.6</w:t>
      </w:r>
      <w:r w:rsidRPr="0036567A">
        <w:rPr>
          <w:rFonts w:ascii="Arial" w:hAnsi="Arial" w:cs="Arial"/>
          <w:sz w:val="24"/>
          <w:szCs w:val="24"/>
        </w:rPr>
        <w:t xml:space="preserve"> million was </w:t>
      </w:r>
      <w:r w:rsidR="008B5470" w:rsidRPr="0036567A">
        <w:rPr>
          <w:rFonts w:ascii="Arial" w:hAnsi="Arial" w:cs="Arial"/>
          <w:sz w:val="24"/>
          <w:szCs w:val="24"/>
        </w:rPr>
        <w:t xml:space="preserve">in </w:t>
      </w:r>
      <w:r w:rsidRPr="0036567A">
        <w:rPr>
          <w:rFonts w:ascii="Arial" w:hAnsi="Arial" w:cs="Arial"/>
          <w:sz w:val="24"/>
          <w:szCs w:val="24"/>
        </w:rPr>
        <w:t xml:space="preserve">a funding agreement in progress and </w:t>
      </w:r>
    </w:p>
    <w:p w14:paraId="4B003191" w14:textId="2A9179FE" w:rsidR="00A60A85" w:rsidRPr="0036567A" w:rsidRDefault="00A60A85" w:rsidP="00A60A85">
      <w:pPr>
        <w:pStyle w:val="Heading7"/>
        <w:numPr>
          <w:ilvl w:val="0"/>
          <w:numId w:val="44"/>
        </w:numPr>
        <w:rPr>
          <w:rFonts w:ascii="Arial" w:hAnsi="Arial" w:cs="Arial"/>
          <w:sz w:val="24"/>
          <w:szCs w:val="24"/>
        </w:rPr>
      </w:pPr>
      <w:r w:rsidRPr="0036567A">
        <w:rPr>
          <w:rFonts w:ascii="Arial" w:hAnsi="Arial" w:cs="Arial"/>
          <w:sz w:val="24"/>
          <w:szCs w:val="24"/>
        </w:rPr>
        <w:t>£</w:t>
      </w:r>
      <w:r w:rsidR="00D62AF4" w:rsidRPr="0036567A">
        <w:rPr>
          <w:rFonts w:ascii="Arial" w:hAnsi="Arial" w:cs="Arial"/>
          <w:sz w:val="24"/>
          <w:szCs w:val="24"/>
        </w:rPr>
        <w:t>7.27</w:t>
      </w:r>
      <w:r w:rsidRPr="0036567A">
        <w:rPr>
          <w:rFonts w:ascii="Arial" w:hAnsi="Arial" w:cs="Arial"/>
          <w:sz w:val="24"/>
          <w:szCs w:val="24"/>
        </w:rPr>
        <w:t xml:space="preserve"> million was in outline or full application stage</w:t>
      </w:r>
    </w:p>
    <w:p w14:paraId="617A5C45" w14:textId="7259C8E8" w:rsidR="00A60A85" w:rsidRPr="0036567A" w:rsidRDefault="00A60A85" w:rsidP="00A60A85">
      <w:pPr>
        <w:pStyle w:val="Heading7"/>
        <w:numPr>
          <w:ilvl w:val="0"/>
          <w:numId w:val="44"/>
        </w:numPr>
        <w:rPr>
          <w:rFonts w:ascii="Arial" w:hAnsi="Arial" w:cs="Arial"/>
          <w:sz w:val="24"/>
          <w:szCs w:val="24"/>
        </w:rPr>
      </w:pPr>
      <w:proofErr w:type="gramStart"/>
      <w:r w:rsidRPr="0036567A">
        <w:rPr>
          <w:rFonts w:ascii="Arial" w:hAnsi="Arial" w:cs="Arial"/>
          <w:sz w:val="24"/>
          <w:szCs w:val="24"/>
        </w:rPr>
        <w:t>leaving</w:t>
      </w:r>
      <w:proofErr w:type="gramEnd"/>
      <w:r w:rsidRPr="0036567A">
        <w:rPr>
          <w:rFonts w:ascii="Arial" w:hAnsi="Arial" w:cs="Arial"/>
          <w:sz w:val="24"/>
          <w:szCs w:val="24"/>
        </w:rPr>
        <w:t xml:space="preserve"> £1</w:t>
      </w:r>
      <w:r w:rsidR="00D62AF4" w:rsidRPr="0036567A">
        <w:rPr>
          <w:rFonts w:ascii="Arial" w:hAnsi="Arial" w:cs="Arial"/>
          <w:sz w:val="24"/>
          <w:szCs w:val="24"/>
        </w:rPr>
        <w:t>5.09</w:t>
      </w:r>
      <w:r w:rsidRPr="0036567A">
        <w:rPr>
          <w:rFonts w:ascii="Arial" w:hAnsi="Arial" w:cs="Arial"/>
          <w:sz w:val="24"/>
          <w:szCs w:val="24"/>
        </w:rPr>
        <w:t xml:space="preserve"> million (</w:t>
      </w:r>
      <w:r w:rsidR="009C364D" w:rsidRPr="0036567A">
        <w:rPr>
          <w:rFonts w:ascii="Arial" w:hAnsi="Arial" w:cs="Arial"/>
          <w:sz w:val="24"/>
          <w:szCs w:val="24"/>
        </w:rPr>
        <w:t>30</w:t>
      </w:r>
      <w:r w:rsidRPr="0036567A">
        <w:rPr>
          <w:rFonts w:ascii="Arial" w:hAnsi="Arial" w:cs="Arial"/>
          <w:sz w:val="24"/>
          <w:szCs w:val="24"/>
        </w:rPr>
        <w:t>%) unallocated</w:t>
      </w:r>
      <w:r w:rsidR="0036567A">
        <w:rPr>
          <w:rFonts w:ascii="Arial" w:hAnsi="Arial" w:cs="Arial"/>
          <w:sz w:val="24"/>
          <w:szCs w:val="24"/>
        </w:rPr>
        <w:t>.</w:t>
      </w:r>
    </w:p>
    <w:p w14:paraId="2E329FAE" w14:textId="7CC3808F" w:rsidR="00A60A85" w:rsidRPr="005F53CF" w:rsidRDefault="00A60A85" w:rsidP="00A60A85">
      <w:pPr>
        <w:pStyle w:val="Heading5"/>
        <w:rPr>
          <w:rFonts w:ascii="Arial" w:hAnsi="Arial" w:cs="Arial"/>
          <w:sz w:val="24"/>
          <w:szCs w:val="24"/>
        </w:rPr>
      </w:pPr>
      <w:r w:rsidRPr="005F53CF">
        <w:rPr>
          <w:rFonts w:ascii="Arial" w:hAnsi="Arial" w:cs="Arial"/>
          <w:sz w:val="24"/>
          <w:szCs w:val="24"/>
        </w:rPr>
        <w:t xml:space="preserve">The main issue in Cumbria has been in developing projects in Priority 1 (R&amp;D and Innovation) due to the lack of </w:t>
      </w:r>
      <w:r w:rsidR="008223E3">
        <w:rPr>
          <w:rFonts w:ascii="Arial" w:hAnsi="Arial" w:cs="Arial"/>
          <w:sz w:val="24"/>
          <w:szCs w:val="24"/>
        </w:rPr>
        <w:t xml:space="preserve">large scale </w:t>
      </w:r>
      <w:r w:rsidRPr="005F53CF">
        <w:rPr>
          <w:rFonts w:ascii="Arial" w:hAnsi="Arial" w:cs="Arial"/>
          <w:sz w:val="24"/>
          <w:szCs w:val="24"/>
        </w:rPr>
        <w:t>research</w:t>
      </w:r>
      <w:r w:rsidR="008B5470">
        <w:rPr>
          <w:rFonts w:ascii="Arial" w:hAnsi="Arial" w:cs="Arial"/>
          <w:sz w:val="24"/>
          <w:szCs w:val="24"/>
        </w:rPr>
        <w:t>-</w:t>
      </w:r>
      <w:r w:rsidRPr="005F53CF">
        <w:rPr>
          <w:rFonts w:ascii="Arial" w:hAnsi="Arial" w:cs="Arial"/>
          <w:sz w:val="24"/>
          <w:szCs w:val="24"/>
        </w:rPr>
        <w:t>based institutions</w:t>
      </w:r>
      <w:r w:rsidR="00A407C7">
        <w:rPr>
          <w:rFonts w:ascii="Arial" w:hAnsi="Arial" w:cs="Arial"/>
          <w:sz w:val="24"/>
          <w:szCs w:val="24"/>
        </w:rPr>
        <w:t xml:space="preserve"> coupled with the ineligibility of the nuclear sector within the ERDF programme</w:t>
      </w:r>
      <w:r w:rsidRPr="005F53CF">
        <w:rPr>
          <w:rFonts w:ascii="Arial" w:hAnsi="Arial" w:cs="Arial"/>
          <w:sz w:val="24"/>
          <w:szCs w:val="24"/>
        </w:rPr>
        <w:t xml:space="preserve">. </w:t>
      </w:r>
      <w:r w:rsidR="008B5470">
        <w:rPr>
          <w:rFonts w:ascii="Arial" w:hAnsi="Arial" w:cs="Arial"/>
          <w:sz w:val="24"/>
          <w:szCs w:val="24"/>
        </w:rPr>
        <w:t>CLEP has</w:t>
      </w:r>
      <w:r w:rsidRPr="005F53CF">
        <w:rPr>
          <w:rFonts w:ascii="Arial" w:hAnsi="Arial" w:cs="Arial"/>
          <w:sz w:val="24"/>
          <w:szCs w:val="24"/>
        </w:rPr>
        <w:t xml:space="preserve"> a particularly healthy pipeline of projects in Priority Axis 4 (low carbon) </w:t>
      </w:r>
      <w:r w:rsidR="00FE14F5">
        <w:rPr>
          <w:rFonts w:ascii="Arial" w:hAnsi="Arial" w:cs="Arial"/>
          <w:sz w:val="24"/>
          <w:szCs w:val="24"/>
        </w:rPr>
        <w:t xml:space="preserve">with a number of </w:t>
      </w:r>
      <w:proofErr w:type="gramStart"/>
      <w:r w:rsidR="00FE14F5">
        <w:rPr>
          <w:rFonts w:ascii="Arial" w:hAnsi="Arial" w:cs="Arial"/>
          <w:sz w:val="24"/>
          <w:szCs w:val="24"/>
        </w:rPr>
        <w:t>these now</w:t>
      </w:r>
      <w:r w:rsidR="008B5470">
        <w:rPr>
          <w:rFonts w:ascii="Arial" w:hAnsi="Arial" w:cs="Arial"/>
          <w:sz w:val="24"/>
          <w:szCs w:val="24"/>
        </w:rPr>
        <w:t xml:space="preserve"> </w:t>
      </w:r>
      <w:r w:rsidRPr="005F53CF">
        <w:rPr>
          <w:rFonts w:ascii="Arial" w:hAnsi="Arial" w:cs="Arial"/>
          <w:sz w:val="24"/>
          <w:szCs w:val="24"/>
        </w:rPr>
        <w:t>contracted</w:t>
      </w:r>
      <w:r w:rsidR="00C46D1B">
        <w:rPr>
          <w:rFonts w:ascii="Arial" w:hAnsi="Arial" w:cs="Arial"/>
          <w:sz w:val="24"/>
          <w:szCs w:val="24"/>
        </w:rPr>
        <w:t xml:space="preserve"> </w:t>
      </w:r>
      <w:r w:rsidR="00FE14F5">
        <w:rPr>
          <w:rFonts w:ascii="Arial" w:hAnsi="Arial" w:cs="Arial"/>
          <w:sz w:val="24"/>
          <w:szCs w:val="24"/>
        </w:rPr>
        <w:t xml:space="preserve">and </w:t>
      </w:r>
      <w:r w:rsidR="00BA7D27">
        <w:rPr>
          <w:rFonts w:ascii="Arial" w:hAnsi="Arial" w:cs="Arial"/>
          <w:sz w:val="24"/>
          <w:szCs w:val="24"/>
        </w:rPr>
        <w:t>commencing activity</w:t>
      </w:r>
      <w:proofErr w:type="gramEnd"/>
      <w:r w:rsidRPr="005F53CF">
        <w:rPr>
          <w:rFonts w:ascii="Arial" w:hAnsi="Arial" w:cs="Arial"/>
          <w:sz w:val="24"/>
          <w:szCs w:val="24"/>
        </w:rPr>
        <w:t>.</w:t>
      </w:r>
    </w:p>
    <w:p w14:paraId="67249D2A" w14:textId="41CCC346" w:rsidR="00A60A85" w:rsidRPr="005F53CF" w:rsidRDefault="00A60A85" w:rsidP="00A60A85">
      <w:pPr>
        <w:pStyle w:val="Heading5"/>
        <w:rPr>
          <w:rFonts w:ascii="Arial" w:hAnsi="Arial" w:cs="Arial"/>
          <w:sz w:val="24"/>
          <w:szCs w:val="24"/>
        </w:rPr>
      </w:pPr>
      <w:r w:rsidRPr="005F53CF">
        <w:rPr>
          <w:rFonts w:ascii="Arial" w:hAnsi="Arial" w:cs="Arial"/>
          <w:sz w:val="24"/>
          <w:szCs w:val="24"/>
        </w:rPr>
        <w:t>Progress and projects of note that are up an</w:t>
      </w:r>
      <w:r w:rsidR="008B5470">
        <w:rPr>
          <w:rFonts w:ascii="Arial" w:hAnsi="Arial" w:cs="Arial"/>
          <w:sz w:val="24"/>
          <w:szCs w:val="24"/>
        </w:rPr>
        <w:t>d</w:t>
      </w:r>
      <w:r w:rsidRPr="005F53CF">
        <w:rPr>
          <w:rFonts w:ascii="Arial" w:hAnsi="Arial" w:cs="Arial"/>
          <w:sz w:val="24"/>
          <w:szCs w:val="24"/>
        </w:rPr>
        <w:t xml:space="preserve"> running and deliver</w:t>
      </w:r>
      <w:r w:rsidR="008B5470">
        <w:rPr>
          <w:rFonts w:ascii="Arial" w:hAnsi="Arial" w:cs="Arial"/>
          <w:sz w:val="24"/>
          <w:szCs w:val="24"/>
        </w:rPr>
        <w:t>ing</w:t>
      </w:r>
      <w:r w:rsidRPr="005F53CF">
        <w:rPr>
          <w:rFonts w:ascii="Arial" w:hAnsi="Arial" w:cs="Arial"/>
          <w:sz w:val="24"/>
          <w:szCs w:val="24"/>
        </w:rPr>
        <w:t xml:space="preserve"> activity and outputs include:</w:t>
      </w:r>
    </w:p>
    <w:p w14:paraId="02AE54FD" w14:textId="3B1D2EE7" w:rsidR="00A60A85" w:rsidRPr="005F53CF" w:rsidRDefault="00A60A85" w:rsidP="00A60A85">
      <w:pPr>
        <w:pStyle w:val="Heading7"/>
        <w:numPr>
          <w:ilvl w:val="0"/>
          <w:numId w:val="44"/>
        </w:numPr>
        <w:rPr>
          <w:rFonts w:ascii="Arial" w:hAnsi="Arial" w:cs="Arial"/>
          <w:sz w:val="24"/>
          <w:szCs w:val="24"/>
        </w:rPr>
      </w:pPr>
      <w:r w:rsidRPr="005F53CF">
        <w:rPr>
          <w:rFonts w:ascii="Arial" w:hAnsi="Arial" w:cs="Arial"/>
          <w:sz w:val="24"/>
          <w:szCs w:val="24"/>
        </w:rPr>
        <w:t>The £4.1 million Cumbria Innovations Platform programme (CUSP) being delivered by Lancaster University (and also involving the University of Cumbria) aimed at innovation in SMEs (Priority Axis 1)</w:t>
      </w:r>
      <w:r w:rsidR="00A2379E">
        <w:rPr>
          <w:rFonts w:ascii="Arial" w:hAnsi="Arial" w:cs="Arial"/>
          <w:sz w:val="24"/>
          <w:szCs w:val="24"/>
        </w:rPr>
        <w:t>.</w:t>
      </w:r>
    </w:p>
    <w:p w14:paraId="74FF23A1" w14:textId="72FEFC2D" w:rsidR="00A60A85" w:rsidRPr="005F53CF" w:rsidRDefault="00A60A85" w:rsidP="00A60A85">
      <w:pPr>
        <w:pStyle w:val="Heading7"/>
        <w:numPr>
          <w:ilvl w:val="0"/>
          <w:numId w:val="44"/>
        </w:numPr>
        <w:rPr>
          <w:rFonts w:ascii="Arial" w:hAnsi="Arial" w:cs="Arial"/>
          <w:sz w:val="24"/>
          <w:szCs w:val="24"/>
        </w:rPr>
      </w:pPr>
      <w:r w:rsidRPr="005F53CF">
        <w:rPr>
          <w:rFonts w:ascii="Arial" w:hAnsi="Arial" w:cs="Arial"/>
          <w:sz w:val="24"/>
          <w:szCs w:val="24"/>
        </w:rPr>
        <w:t>The ICTIS - Information and Communication Technology Improvement Support project delivered by Allerdale Borough Council (Priority Axis 2)</w:t>
      </w:r>
      <w:r w:rsidR="00A2379E">
        <w:rPr>
          <w:rFonts w:ascii="Arial" w:hAnsi="Arial" w:cs="Arial"/>
          <w:sz w:val="24"/>
          <w:szCs w:val="24"/>
        </w:rPr>
        <w:t>.</w:t>
      </w:r>
    </w:p>
    <w:p w14:paraId="7B06E0C2" w14:textId="5F3E458C" w:rsidR="00A60A85" w:rsidRPr="005F53CF" w:rsidRDefault="00A60A85" w:rsidP="00A60A85">
      <w:pPr>
        <w:pStyle w:val="Heading7"/>
        <w:numPr>
          <w:ilvl w:val="0"/>
          <w:numId w:val="44"/>
        </w:numPr>
        <w:rPr>
          <w:rFonts w:ascii="Arial" w:hAnsi="Arial" w:cs="Arial"/>
          <w:sz w:val="24"/>
          <w:szCs w:val="24"/>
        </w:rPr>
      </w:pPr>
      <w:r w:rsidRPr="005F53CF">
        <w:rPr>
          <w:rFonts w:ascii="Arial" w:hAnsi="Arial" w:cs="Arial"/>
          <w:sz w:val="24"/>
          <w:szCs w:val="24"/>
        </w:rPr>
        <w:t xml:space="preserve">The Cumbria Growth Hub (see later) and Business Start-up support programmes being delivered by the Chamber </w:t>
      </w:r>
      <w:r w:rsidR="008B5470">
        <w:rPr>
          <w:rFonts w:ascii="Arial" w:hAnsi="Arial" w:cs="Arial"/>
          <w:sz w:val="24"/>
          <w:szCs w:val="24"/>
        </w:rPr>
        <w:t xml:space="preserve">of Commerce under </w:t>
      </w:r>
      <w:r w:rsidRPr="005F53CF">
        <w:rPr>
          <w:rFonts w:ascii="Arial" w:hAnsi="Arial" w:cs="Arial"/>
          <w:sz w:val="24"/>
          <w:szCs w:val="24"/>
        </w:rPr>
        <w:t>Priority Axis 3</w:t>
      </w:r>
      <w:r w:rsidR="00A2379E">
        <w:rPr>
          <w:rFonts w:ascii="Arial" w:hAnsi="Arial" w:cs="Arial"/>
          <w:sz w:val="24"/>
          <w:szCs w:val="24"/>
        </w:rPr>
        <w:t>.</w:t>
      </w:r>
    </w:p>
    <w:p w14:paraId="51E95A67" w14:textId="123AB440" w:rsidR="00A60A85" w:rsidRPr="005F53CF" w:rsidRDefault="00A60A85" w:rsidP="00A60A85">
      <w:pPr>
        <w:pStyle w:val="Heading7"/>
        <w:numPr>
          <w:ilvl w:val="0"/>
          <w:numId w:val="44"/>
        </w:numPr>
        <w:rPr>
          <w:rFonts w:ascii="Arial" w:hAnsi="Arial" w:cs="Arial"/>
          <w:sz w:val="24"/>
          <w:szCs w:val="24"/>
        </w:rPr>
      </w:pPr>
      <w:r w:rsidRPr="005F53CF">
        <w:rPr>
          <w:rFonts w:ascii="Arial" w:hAnsi="Arial" w:cs="Arial"/>
          <w:sz w:val="24"/>
          <w:szCs w:val="24"/>
        </w:rPr>
        <w:t>The £2.2 million Eco-Innovation Cumbria programme for SMEs being delivered by the University of Cumbria in Priority Axis 4 which is operat</w:t>
      </w:r>
      <w:r w:rsidR="008B5470">
        <w:rPr>
          <w:rFonts w:ascii="Arial" w:hAnsi="Arial" w:cs="Arial"/>
          <w:sz w:val="24"/>
          <w:szCs w:val="24"/>
        </w:rPr>
        <w:t>ional</w:t>
      </w:r>
      <w:r w:rsidRPr="005F53CF">
        <w:rPr>
          <w:rFonts w:ascii="Arial" w:hAnsi="Arial" w:cs="Arial"/>
          <w:sz w:val="24"/>
          <w:szCs w:val="24"/>
        </w:rPr>
        <w:t>.</w:t>
      </w:r>
    </w:p>
    <w:p w14:paraId="003DF8DD" w14:textId="79B5E574" w:rsidR="00A60A85" w:rsidRDefault="00A60A85" w:rsidP="00A60A85">
      <w:pPr>
        <w:pStyle w:val="Heading7"/>
        <w:numPr>
          <w:ilvl w:val="0"/>
          <w:numId w:val="44"/>
        </w:numPr>
        <w:rPr>
          <w:rFonts w:ascii="Arial" w:hAnsi="Arial" w:cs="Arial"/>
          <w:sz w:val="24"/>
          <w:szCs w:val="24"/>
        </w:rPr>
      </w:pPr>
      <w:proofErr w:type="gramStart"/>
      <w:r w:rsidRPr="005F53CF">
        <w:rPr>
          <w:rFonts w:ascii="Arial" w:hAnsi="Arial" w:cs="Arial"/>
          <w:sz w:val="24"/>
          <w:szCs w:val="24"/>
        </w:rPr>
        <w:t>The £7.3 million Low Carbon Lake District programme being run by the Lake District National Park Authority</w:t>
      </w:r>
      <w:r w:rsidR="008B5470">
        <w:rPr>
          <w:rFonts w:ascii="Arial" w:hAnsi="Arial" w:cs="Arial"/>
          <w:sz w:val="24"/>
          <w:szCs w:val="24"/>
        </w:rPr>
        <w:t>, which is now live.</w:t>
      </w:r>
      <w:proofErr w:type="gramEnd"/>
    </w:p>
    <w:p w14:paraId="15594BB3" w14:textId="77777777" w:rsidR="00256652" w:rsidRPr="005F53CF" w:rsidRDefault="00256652" w:rsidP="00D254E3">
      <w:pPr>
        <w:pStyle w:val="Heading7"/>
        <w:numPr>
          <w:ilvl w:val="0"/>
          <w:numId w:val="0"/>
        </w:numPr>
        <w:ind w:left="1361"/>
        <w:rPr>
          <w:rFonts w:ascii="Arial" w:hAnsi="Arial" w:cs="Arial"/>
          <w:sz w:val="24"/>
          <w:szCs w:val="24"/>
        </w:rPr>
      </w:pPr>
    </w:p>
    <w:tbl>
      <w:tblPr>
        <w:tblW w:w="10065" w:type="dxa"/>
        <w:tblInd w:w="-318" w:type="dxa"/>
        <w:tblLayout w:type="fixed"/>
        <w:tblLook w:val="04A0" w:firstRow="1" w:lastRow="0" w:firstColumn="1" w:lastColumn="0" w:noHBand="0" w:noVBand="1"/>
      </w:tblPr>
      <w:tblGrid>
        <w:gridCol w:w="1702"/>
        <w:gridCol w:w="1418"/>
        <w:gridCol w:w="834"/>
        <w:gridCol w:w="1292"/>
        <w:gridCol w:w="1134"/>
        <w:gridCol w:w="1417"/>
        <w:gridCol w:w="1276"/>
        <w:gridCol w:w="992"/>
      </w:tblGrid>
      <w:tr w:rsidR="00A60A85" w:rsidRPr="005F53CF" w14:paraId="406F5132" w14:textId="77777777" w:rsidTr="0036567A">
        <w:trPr>
          <w:trHeight w:val="263"/>
        </w:trPr>
        <w:tc>
          <w:tcPr>
            <w:tcW w:w="10065" w:type="dxa"/>
            <w:gridSpan w:val="8"/>
            <w:tcBorders>
              <w:top w:val="single" w:sz="4" w:space="0" w:color="auto"/>
              <w:left w:val="single" w:sz="4" w:space="0" w:color="auto"/>
              <w:bottom w:val="single" w:sz="4" w:space="0" w:color="auto"/>
              <w:right w:val="single" w:sz="4" w:space="0" w:color="auto"/>
            </w:tcBorders>
            <w:noWrap/>
            <w:hideMark/>
          </w:tcPr>
          <w:p w14:paraId="6480E8C9" w14:textId="77777777" w:rsidR="00A60A85" w:rsidRPr="005F53CF" w:rsidRDefault="00A60A85">
            <w:pPr>
              <w:spacing w:after="0"/>
              <w:rPr>
                <w:rFonts w:ascii="Arial" w:hAnsi="Arial" w:cs="Arial"/>
                <w:b/>
                <w:color w:val="000000"/>
                <w:sz w:val="24"/>
                <w:szCs w:val="24"/>
                <w:lang w:eastAsia="en-GB"/>
              </w:rPr>
            </w:pPr>
            <w:r w:rsidRPr="005F53CF">
              <w:rPr>
                <w:rFonts w:ascii="Arial" w:hAnsi="Arial" w:cs="Arial"/>
                <w:b/>
                <w:color w:val="000000"/>
                <w:sz w:val="24"/>
                <w:szCs w:val="24"/>
                <w:lang w:eastAsia="en-GB"/>
              </w:rPr>
              <w:t>Status of ERDF in Cumbria, February 2019</w:t>
            </w:r>
          </w:p>
        </w:tc>
      </w:tr>
      <w:tr w:rsidR="0036567A" w:rsidRPr="005F53CF" w14:paraId="6C45D8A9" w14:textId="77777777" w:rsidTr="0036567A">
        <w:trPr>
          <w:trHeight w:val="969"/>
        </w:trPr>
        <w:tc>
          <w:tcPr>
            <w:tcW w:w="1702" w:type="dxa"/>
            <w:tcBorders>
              <w:top w:val="single" w:sz="4" w:space="0" w:color="auto"/>
              <w:left w:val="single" w:sz="4" w:space="0" w:color="auto"/>
              <w:bottom w:val="single" w:sz="4" w:space="0" w:color="auto"/>
              <w:right w:val="nil"/>
            </w:tcBorders>
            <w:noWrap/>
            <w:hideMark/>
          </w:tcPr>
          <w:p w14:paraId="098ABBCA" w14:textId="77777777" w:rsidR="00A60A85" w:rsidRPr="0036567A" w:rsidRDefault="00A60A85" w:rsidP="0036567A">
            <w:pPr>
              <w:spacing w:after="0"/>
              <w:jc w:val="center"/>
              <w:rPr>
                <w:rFonts w:ascii="Arial" w:hAnsi="Arial" w:cs="Arial"/>
                <w:sz w:val="24"/>
                <w:szCs w:val="24"/>
                <w:lang w:eastAsia="en-GB"/>
              </w:rPr>
            </w:pPr>
            <w:r w:rsidRPr="0036567A">
              <w:rPr>
                <w:rFonts w:ascii="Arial" w:hAnsi="Arial" w:cs="Arial"/>
                <w:sz w:val="24"/>
                <w:szCs w:val="24"/>
                <w:lang w:eastAsia="en-GB"/>
              </w:rPr>
              <w:t>Status</w:t>
            </w:r>
          </w:p>
        </w:tc>
        <w:tc>
          <w:tcPr>
            <w:tcW w:w="1418" w:type="dxa"/>
            <w:tcBorders>
              <w:top w:val="single" w:sz="4" w:space="0" w:color="auto"/>
              <w:left w:val="single" w:sz="4" w:space="0" w:color="auto"/>
              <w:bottom w:val="single" w:sz="4" w:space="0" w:color="auto"/>
              <w:right w:val="nil"/>
            </w:tcBorders>
            <w:hideMark/>
          </w:tcPr>
          <w:p w14:paraId="274F9995" w14:textId="24A92CE8" w:rsidR="008B5470" w:rsidRPr="0036567A" w:rsidRDefault="00A60A85" w:rsidP="0036567A">
            <w:pPr>
              <w:spacing w:after="0"/>
              <w:jc w:val="center"/>
              <w:rPr>
                <w:rFonts w:ascii="Arial" w:hAnsi="Arial" w:cs="Arial"/>
                <w:color w:val="000000"/>
                <w:sz w:val="24"/>
                <w:szCs w:val="24"/>
                <w:lang w:eastAsia="en-GB"/>
              </w:rPr>
            </w:pPr>
            <w:r w:rsidRPr="0036567A">
              <w:rPr>
                <w:rFonts w:ascii="Arial" w:hAnsi="Arial" w:cs="Arial"/>
                <w:color w:val="000000"/>
                <w:sz w:val="24"/>
                <w:szCs w:val="24"/>
                <w:lang w:eastAsia="en-GB"/>
              </w:rPr>
              <w:t>1</w:t>
            </w:r>
          </w:p>
          <w:p w14:paraId="2A52F8F2" w14:textId="67F7C50E" w:rsidR="00A60A85" w:rsidRPr="0036567A" w:rsidRDefault="00A60A85" w:rsidP="0036567A">
            <w:pPr>
              <w:spacing w:after="0"/>
              <w:jc w:val="center"/>
              <w:rPr>
                <w:rFonts w:ascii="Arial" w:hAnsi="Arial" w:cs="Arial"/>
                <w:color w:val="000000"/>
                <w:sz w:val="24"/>
                <w:szCs w:val="24"/>
                <w:lang w:eastAsia="en-GB"/>
              </w:rPr>
            </w:pPr>
            <w:r w:rsidRPr="0036567A">
              <w:rPr>
                <w:rFonts w:ascii="Arial" w:hAnsi="Arial" w:cs="Arial"/>
                <w:color w:val="000000"/>
                <w:sz w:val="24"/>
                <w:szCs w:val="24"/>
                <w:lang w:eastAsia="en-GB"/>
              </w:rPr>
              <w:t>R&amp;D and Innovation</w:t>
            </w:r>
          </w:p>
        </w:tc>
        <w:tc>
          <w:tcPr>
            <w:tcW w:w="834" w:type="dxa"/>
            <w:tcBorders>
              <w:top w:val="single" w:sz="4" w:space="0" w:color="auto"/>
              <w:left w:val="single" w:sz="4" w:space="0" w:color="auto"/>
              <w:bottom w:val="single" w:sz="4" w:space="0" w:color="auto"/>
              <w:right w:val="nil"/>
            </w:tcBorders>
            <w:noWrap/>
            <w:hideMark/>
          </w:tcPr>
          <w:p w14:paraId="4C25171B" w14:textId="77777777" w:rsidR="00A60A85" w:rsidRPr="0036567A" w:rsidRDefault="00A60A85" w:rsidP="0036567A">
            <w:pPr>
              <w:spacing w:after="0"/>
              <w:jc w:val="center"/>
              <w:rPr>
                <w:rFonts w:ascii="Arial" w:hAnsi="Arial" w:cs="Arial"/>
                <w:color w:val="000000"/>
                <w:sz w:val="24"/>
                <w:szCs w:val="24"/>
                <w:lang w:eastAsia="en-GB"/>
              </w:rPr>
            </w:pPr>
            <w:r w:rsidRPr="0036567A">
              <w:rPr>
                <w:rFonts w:ascii="Arial" w:hAnsi="Arial" w:cs="Arial"/>
                <w:color w:val="000000"/>
                <w:sz w:val="24"/>
                <w:szCs w:val="24"/>
                <w:lang w:eastAsia="en-GB"/>
              </w:rPr>
              <w:t>2 ICT</w:t>
            </w:r>
          </w:p>
        </w:tc>
        <w:tc>
          <w:tcPr>
            <w:tcW w:w="1292" w:type="dxa"/>
            <w:tcBorders>
              <w:top w:val="single" w:sz="4" w:space="0" w:color="auto"/>
              <w:left w:val="single" w:sz="4" w:space="0" w:color="auto"/>
              <w:bottom w:val="single" w:sz="4" w:space="0" w:color="auto"/>
              <w:right w:val="nil"/>
            </w:tcBorders>
            <w:hideMark/>
          </w:tcPr>
          <w:p w14:paraId="45F453AE" w14:textId="77777777" w:rsidR="00A60A85" w:rsidRPr="0036567A" w:rsidRDefault="00A60A85" w:rsidP="0036567A">
            <w:pPr>
              <w:spacing w:after="0"/>
              <w:jc w:val="center"/>
              <w:rPr>
                <w:rFonts w:ascii="Arial" w:hAnsi="Arial" w:cs="Arial"/>
                <w:color w:val="000000"/>
                <w:sz w:val="24"/>
                <w:szCs w:val="24"/>
                <w:lang w:eastAsia="en-GB"/>
              </w:rPr>
            </w:pPr>
            <w:r w:rsidRPr="0036567A">
              <w:rPr>
                <w:rFonts w:ascii="Arial" w:hAnsi="Arial" w:cs="Arial"/>
                <w:color w:val="000000"/>
                <w:sz w:val="24"/>
                <w:szCs w:val="24"/>
                <w:lang w:eastAsia="en-GB"/>
              </w:rPr>
              <w:t>3 Entrepren-eurship</w:t>
            </w:r>
          </w:p>
        </w:tc>
        <w:tc>
          <w:tcPr>
            <w:tcW w:w="1134" w:type="dxa"/>
            <w:tcBorders>
              <w:top w:val="single" w:sz="4" w:space="0" w:color="auto"/>
              <w:left w:val="single" w:sz="4" w:space="0" w:color="auto"/>
              <w:bottom w:val="single" w:sz="4" w:space="0" w:color="auto"/>
              <w:right w:val="nil"/>
            </w:tcBorders>
            <w:noWrap/>
            <w:hideMark/>
          </w:tcPr>
          <w:p w14:paraId="73F9A55B" w14:textId="092C842C" w:rsidR="008B5470" w:rsidRPr="0036567A" w:rsidRDefault="00A60A85" w:rsidP="0036567A">
            <w:pPr>
              <w:spacing w:after="0"/>
              <w:jc w:val="center"/>
              <w:rPr>
                <w:rFonts w:ascii="Arial" w:hAnsi="Arial" w:cs="Arial"/>
                <w:color w:val="000000"/>
                <w:sz w:val="24"/>
                <w:szCs w:val="24"/>
                <w:lang w:eastAsia="en-GB"/>
              </w:rPr>
            </w:pPr>
            <w:r w:rsidRPr="0036567A">
              <w:rPr>
                <w:rFonts w:ascii="Arial" w:hAnsi="Arial" w:cs="Arial"/>
                <w:color w:val="000000"/>
                <w:sz w:val="24"/>
                <w:szCs w:val="24"/>
                <w:lang w:eastAsia="en-GB"/>
              </w:rPr>
              <w:t>4</w:t>
            </w:r>
          </w:p>
          <w:p w14:paraId="493B1121" w14:textId="33C3A765" w:rsidR="00A60A85" w:rsidRPr="0036567A" w:rsidRDefault="00A60A85" w:rsidP="0036567A">
            <w:pPr>
              <w:spacing w:after="0"/>
              <w:jc w:val="center"/>
              <w:rPr>
                <w:rFonts w:ascii="Arial" w:hAnsi="Arial" w:cs="Arial"/>
                <w:color w:val="000000"/>
                <w:sz w:val="24"/>
                <w:szCs w:val="24"/>
                <w:lang w:eastAsia="en-GB"/>
              </w:rPr>
            </w:pPr>
            <w:r w:rsidRPr="0036567A">
              <w:rPr>
                <w:rFonts w:ascii="Arial" w:hAnsi="Arial" w:cs="Arial"/>
                <w:color w:val="000000"/>
                <w:sz w:val="24"/>
                <w:szCs w:val="24"/>
                <w:lang w:eastAsia="en-GB"/>
              </w:rPr>
              <w:t>Low Carbon</w:t>
            </w:r>
          </w:p>
        </w:tc>
        <w:tc>
          <w:tcPr>
            <w:tcW w:w="1417" w:type="dxa"/>
            <w:tcBorders>
              <w:top w:val="single" w:sz="4" w:space="0" w:color="auto"/>
              <w:left w:val="single" w:sz="4" w:space="0" w:color="auto"/>
              <w:bottom w:val="single" w:sz="4" w:space="0" w:color="auto"/>
              <w:right w:val="nil"/>
            </w:tcBorders>
            <w:noWrap/>
            <w:hideMark/>
          </w:tcPr>
          <w:p w14:paraId="5E067FE6" w14:textId="0BD72ED4" w:rsidR="008B5470" w:rsidRPr="0036567A" w:rsidRDefault="00A60A85" w:rsidP="0036567A">
            <w:pPr>
              <w:spacing w:after="0"/>
              <w:jc w:val="center"/>
              <w:rPr>
                <w:rFonts w:ascii="Arial" w:hAnsi="Arial" w:cs="Arial"/>
                <w:color w:val="000000"/>
                <w:sz w:val="24"/>
                <w:szCs w:val="24"/>
                <w:lang w:eastAsia="en-GB"/>
              </w:rPr>
            </w:pPr>
            <w:r w:rsidRPr="0036567A">
              <w:rPr>
                <w:rFonts w:ascii="Arial" w:hAnsi="Arial" w:cs="Arial"/>
                <w:color w:val="000000"/>
                <w:sz w:val="24"/>
                <w:szCs w:val="24"/>
                <w:lang w:eastAsia="en-GB"/>
              </w:rPr>
              <w:t>5</w:t>
            </w:r>
          </w:p>
          <w:p w14:paraId="7A0CED6F" w14:textId="4B4981D4" w:rsidR="00A60A85" w:rsidRPr="0036567A" w:rsidRDefault="00A60A85" w:rsidP="0036567A">
            <w:pPr>
              <w:spacing w:after="0"/>
              <w:jc w:val="center"/>
              <w:rPr>
                <w:rFonts w:ascii="Arial" w:hAnsi="Arial" w:cs="Arial"/>
                <w:color w:val="000000"/>
                <w:sz w:val="24"/>
                <w:szCs w:val="24"/>
                <w:lang w:eastAsia="en-GB"/>
              </w:rPr>
            </w:pPr>
            <w:r w:rsidRPr="0036567A">
              <w:rPr>
                <w:rFonts w:ascii="Arial" w:hAnsi="Arial" w:cs="Arial"/>
                <w:color w:val="000000"/>
                <w:sz w:val="24"/>
                <w:szCs w:val="24"/>
                <w:lang w:eastAsia="en-GB"/>
              </w:rPr>
              <w:t>Climate change adaptation</w:t>
            </w:r>
          </w:p>
        </w:tc>
        <w:tc>
          <w:tcPr>
            <w:tcW w:w="1276" w:type="dxa"/>
            <w:tcBorders>
              <w:top w:val="single" w:sz="4" w:space="0" w:color="auto"/>
              <w:left w:val="single" w:sz="4" w:space="0" w:color="auto"/>
              <w:bottom w:val="single" w:sz="4" w:space="0" w:color="auto"/>
              <w:right w:val="nil"/>
            </w:tcBorders>
            <w:noWrap/>
            <w:hideMark/>
          </w:tcPr>
          <w:p w14:paraId="5CFDC258" w14:textId="77777777" w:rsidR="00A60A85" w:rsidRPr="0036567A" w:rsidRDefault="00A60A85" w:rsidP="0036567A">
            <w:pPr>
              <w:spacing w:after="0"/>
              <w:jc w:val="center"/>
              <w:rPr>
                <w:rFonts w:ascii="Arial" w:hAnsi="Arial" w:cs="Arial"/>
                <w:color w:val="000000"/>
                <w:sz w:val="24"/>
                <w:szCs w:val="24"/>
                <w:lang w:eastAsia="en-GB"/>
              </w:rPr>
            </w:pPr>
            <w:r w:rsidRPr="0036567A">
              <w:rPr>
                <w:rFonts w:ascii="Arial" w:hAnsi="Arial" w:cs="Arial"/>
                <w:color w:val="000000"/>
                <w:sz w:val="24"/>
                <w:szCs w:val="24"/>
                <w:lang w:eastAsia="en-GB"/>
              </w:rPr>
              <w:t>6 Resource efficiency</w:t>
            </w:r>
          </w:p>
        </w:tc>
        <w:tc>
          <w:tcPr>
            <w:tcW w:w="992" w:type="dxa"/>
            <w:tcBorders>
              <w:top w:val="single" w:sz="4" w:space="0" w:color="auto"/>
              <w:left w:val="single" w:sz="4" w:space="0" w:color="auto"/>
              <w:bottom w:val="single" w:sz="4" w:space="0" w:color="auto"/>
              <w:right w:val="single" w:sz="4" w:space="0" w:color="auto"/>
            </w:tcBorders>
            <w:noWrap/>
            <w:hideMark/>
          </w:tcPr>
          <w:p w14:paraId="0E159019" w14:textId="77777777" w:rsidR="00A60A85" w:rsidRPr="0036567A" w:rsidRDefault="00A60A85" w:rsidP="0036567A">
            <w:pPr>
              <w:spacing w:after="0"/>
              <w:jc w:val="center"/>
              <w:rPr>
                <w:rFonts w:ascii="Arial" w:hAnsi="Arial" w:cs="Arial"/>
                <w:color w:val="000000"/>
                <w:sz w:val="24"/>
                <w:szCs w:val="24"/>
                <w:lang w:eastAsia="en-GB"/>
              </w:rPr>
            </w:pPr>
            <w:r w:rsidRPr="0036567A">
              <w:rPr>
                <w:rFonts w:ascii="Arial" w:hAnsi="Arial" w:cs="Arial"/>
                <w:color w:val="000000"/>
                <w:sz w:val="24"/>
                <w:szCs w:val="24"/>
                <w:lang w:eastAsia="en-GB"/>
              </w:rPr>
              <w:t>Total</w:t>
            </w:r>
          </w:p>
        </w:tc>
      </w:tr>
      <w:tr w:rsidR="0036567A" w:rsidRPr="005F53CF" w14:paraId="337089AC" w14:textId="77777777" w:rsidTr="0036567A">
        <w:trPr>
          <w:trHeight w:val="54"/>
        </w:trPr>
        <w:tc>
          <w:tcPr>
            <w:tcW w:w="1702" w:type="dxa"/>
            <w:tcBorders>
              <w:top w:val="single" w:sz="4" w:space="0" w:color="auto"/>
              <w:left w:val="single" w:sz="4" w:space="0" w:color="auto"/>
              <w:bottom w:val="single" w:sz="4" w:space="0" w:color="auto"/>
              <w:right w:val="single" w:sz="4" w:space="0" w:color="auto"/>
            </w:tcBorders>
            <w:hideMark/>
          </w:tcPr>
          <w:p w14:paraId="4E95B378" w14:textId="77777777" w:rsidR="00A60A85" w:rsidRPr="005F53CF" w:rsidRDefault="00A60A85">
            <w:pPr>
              <w:spacing w:after="0"/>
              <w:rPr>
                <w:rFonts w:ascii="Arial" w:hAnsi="Arial" w:cs="Arial"/>
                <w:color w:val="000000"/>
                <w:sz w:val="24"/>
                <w:szCs w:val="24"/>
                <w:lang w:eastAsia="en-GB"/>
              </w:rPr>
            </w:pPr>
            <w:r w:rsidRPr="005F53CF">
              <w:rPr>
                <w:rFonts w:ascii="Arial" w:hAnsi="Arial" w:cs="Arial"/>
                <w:color w:val="000000"/>
                <w:sz w:val="24"/>
                <w:szCs w:val="24"/>
                <w:lang w:eastAsia="en-GB"/>
              </w:rPr>
              <w:t>Outline</w:t>
            </w:r>
          </w:p>
        </w:tc>
        <w:tc>
          <w:tcPr>
            <w:tcW w:w="1418" w:type="dxa"/>
            <w:tcBorders>
              <w:top w:val="nil"/>
              <w:left w:val="nil"/>
              <w:bottom w:val="single" w:sz="4" w:space="0" w:color="auto"/>
              <w:right w:val="single" w:sz="4" w:space="0" w:color="auto"/>
            </w:tcBorders>
            <w:noWrap/>
            <w:hideMark/>
          </w:tcPr>
          <w:p w14:paraId="6012E7F8" w14:textId="77777777" w:rsidR="00A60A85" w:rsidRPr="005F53CF" w:rsidRDefault="00A60A85">
            <w:pPr>
              <w:spacing w:after="0"/>
              <w:jc w:val="right"/>
              <w:rPr>
                <w:rFonts w:ascii="Arial" w:hAnsi="Arial" w:cs="Arial"/>
                <w:color w:val="000000"/>
                <w:sz w:val="24"/>
                <w:szCs w:val="24"/>
                <w:lang w:eastAsia="en-GB"/>
              </w:rPr>
            </w:pPr>
            <w:r w:rsidRPr="005F53CF">
              <w:rPr>
                <w:rFonts w:ascii="Arial" w:hAnsi="Arial" w:cs="Arial"/>
                <w:sz w:val="24"/>
                <w:szCs w:val="24"/>
              </w:rPr>
              <w:t>£0.0</w:t>
            </w:r>
          </w:p>
        </w:tc>
        <w:tc>
          <w:tcPr>
            <w:tcW w:w="834" w:type="dxa"/>
            <w:tcBorders>
              <w:top w:val="nil"/>
              <w:left w:val="nil"/>
              <w:bottom w:val="single" w:sz="4" w:space="0" w:color="auto"/>
              <w:right w:val="single" w:sz="4" w:space="0" w:color="auto"/>
            </w:tcBorders>
            <w:noWrap/>
            <w:hideMark/>
          </w:tcPr>
          <w:p w14:paraId="505A0C14" w14:textId="77777777" w:rsidR="00A60A85" w:rsidRPr="005F53CF" w:rsidRDefault="00A60A85">
            <w:pPr>
              <w:spacing w:after="0"/>
              <w:jc w:val="right"/>
              <w:rPr>
                <w:rFonts w:ascii="Arial" w:hAnsi="Arial" w:cs="Arial"/>
                <w:color w:val="000000"/>
                <w:sz w:val="24"/>
                <w:szCs w:val="24"/>
                <w:lang w:eastAsia="en-GB"/>
              </w:rPr>
            </w:pPr>
            <w:r w:rsidRPr="005F53CF">
              <w:rPr>
                <w:rFonts w:ascii="Arial" w:hAnsi="Arial" w:cs="Arial"/>
                <w:sz w:val="24"/>
                <w:szCs w:val="24"/>
              </w:rPr>
              <w:t>£0.0</w:t>
            </w:r>
          </w:p>
        </w:tc>
        <w:tc>
          <w:tcPr>
            <w:tcW w:w="1292" w:type="dxa"/>
            <w:tcBorders>
              <w:top w:val="nil"/>
              <w:left w:val="nil"/>
              <w:bottom w:val="single" w:sz="4" w:space="0" w:color="auto"/>
              <w:right w:val="single" w:sz="4" w:space="0" w:color="auto"/>
            </w:tcBorders>
            <w:noWrap/>
            <w:hideMark/>
          </w:tcPr>
          <w:p w14:paraId="298E4631" w14:textId="7327D978" w:rsidR="00A60A85" w:rsidRPr="005F53CF" w:rsidRDefault="00A60A85" w:rsidP="00825ED4">
            <w:pPr>
              <w:spacing w:after="0"/>
              <w:jc w:val="right"/>
              <w:rPr>
                <w:rFonts w:ascii="Arial" w:hAnsi="Arial" w:cs="Arial"/>
                <w:color w:val="000000"/>
                <w:sz w:val="24"/>
                <w:szCs w:val="24"/>
                <w:lang w:eastAsia="en-GB"/>
              </w:rPr>
            </w:pPr>
            <w:r w:rsidRPr="005F53CF">
              <w:rPr>
                <w:rFonts w:ascii="Arial" w:hAnsi="Arial" w:cs="Arial"/>
                <w:sz w:val="24"/>
                <w:szCs w:val="24"/>
              </w:rPr>
              <w:t>£</w:t>
            </w:r>
            <w:r w:rsidR="00825ED4">
              <w:rPr>
                <w:rFonts w:ascii="Arial" w:hAnsi="Arial" w:cs="Arial"/>
                <w:sz w:val="24"/>
                <w:szCs w:val="24"/>
              </w:rPr>
              <w:t>0</w:t>
            </w:r>
          </w:p>
        </w:tc>
        <w:tc>
          <w:tcPr>
            <w:tcW w:w="1134" w:type="dxa"/>
            <w:tcBorders>
              <w:top w:val="nil"/>
              <w:left w:val="nil"/>
              <w:bottom w:val="single" w:sz="4" w:space="0" w:color="auto"/>
              <w:right w:val="single" w:sz="4" w:space="0" w:color="auto"/>
            </w:tcBorders>
            <w:noWrap/>
            <w:hideMark/>
          </w:tcPr>
          <w:p w14:paraId="522780FE" w14:textId="5ACEC39B" w:rsidR="00A60A85" w:rsidRPr="005F53CF" w:rsidRDefault="00A60A85" w:rsidP="00015B7E">
            <w:pPr>
              <w:spacing w:after="0"/>
              <w:jc w:val="right"/>
              <w:rPr>
                <w:rFonts w:ascii="Arial" w:hAnsi="Arial" w:cs="Arial"/>
                <w:color w:val="000000"/>
                <w:sz w:val="24"/>
                <w:szCs w:val="24"/>
                <w:lang w:eastAsia="en-GB"/>
              </w:rPr>
            </w:pPr>
            <w:r w:rsidRPr="005F53CF">
              <w:rPr>
                <w:rFonts w:ascii="Arial" w:hAnsi="Arial" w:cs="Arial"/>
                <w:sz w:val="24"/>
                <w:szCs w:val="24"/>
              </w:rPr>
              <w:t>£</w:t>
            </w:r>
            <w:r w:rsidR="00015B7E">
              <w:rPr>
                <w:rFonts w:ascii="Arial" w:hAnsi="Arial" w:cs="Arial"/>
                <w:sz w:val="24"/>
                <w:szCs w:val="24"/>
              </w:rPr>
              <w:t>5.39</w:t>
            </w:r>
          </w:p>
        </w:tc>
        <w:tc>
          <w:tcPr>
            <w:tcW w:w="1417" w:type="dxa"/>
            <w:tcBorders>
              <w:top w:val="nil"/>
              <w:left w:val="nil"/>
              <w:bottom w:val="single" w:sz="4" w:space="0" w:color="auto"/>
              <w:right w:val="single" w:sz="4" w:space="0" w:color="auto"/>
            </w:tcBorders>
            <w:noWrap/>
            <w:hideMark/>
          </w:tcPr>
          <w:p w14:paraId="508C7D25" w14:textId="77777777" w:rsidR="00A60A85" w:rsidRPr="005F53CF" w:rsidRDefault="00A60A85">
            <w:pPr>
              <w:spacing w:after="0"/>
              <w:jc w:val="right"/>
              <w:rPr>
                <w:rFonts w:ascii="Arial" w:hAnsi="Arial" w:cs="Arial"/>
                <w:color w:val="000000"/>
                <w:sz w:val="24"/>
                <w:szCs w:val="24"/>
                <w:lang w:eastAsia="en-GB"/>
              </w:rPr>
            </w:pPr>
            <w:r w:rsidRPr="005F53CF">
              <w:rPr>
                <w:rFonts w:ascii="Arial" w:hAnsi="Arial" w:cs="Arial"/>
                <w:sz w:val="24"/>
                <w:szCs w:val="24"/>
              </w:rPr>
              <w:t>£0.0</w:t>
            </w:r>
          </w:p>
        </w:tc>
        <w:tc>
          <w:tcPr>
            <w:tcW w:w="1276" w:type="dxa"/>
            <w:tcBorders>
              <w:top w:val="nil"/>
              <w:left w:val="nil"/>
              <w:bottom w:val="single" w:sz="4" w:space="0" w:color="auto"/>
              <w:right w:val="single" w:sz="4" w:space="0" w:color="auto"/>
            </w:tcBorders>
            <w:noWrap/>
            <w:hideMark/>
          </w:tcPr>
          <w:p w14:paraId="38A9CB5C" w14:textId="49330A9E" w:rsidR="00A60A85" w:rsidRPr="005F53CF" w:rsidRDefault="00A60A85" w:rsidP="008343B0">
            <w:pPr>
              <w:spacing w:after="0"/>
              <w:jc w:val="right"/>
              <w:rPr>
                <w:rFonts w:ascii="Arial" w:hAnsi="Arial" w:cs="Arial"/>
                <w:color w:val="000000"/>
                <w:sz w:val="24"/>
                <w:szCs w:val="24"/>
                <w:lang w:eastAsia="en-GB"/>
              </w:rPr>
            </w:pPr>
            <w:r w:rsidRPr="005F53CF">
              <w:rPr>
                <w:rFonts w:ascii="Arial" w:hAnsi="Arial" w:cs="Arial"/>
                <w:sz w:val="24"/>
                <w:szCs w:val="24"/>
              </w:rPr>
              <w:t>£</w:t>
            </w:r>
            <w:r w:rsidR="008343B0">
              <w:rPr>
                <w:rFonts w:ascii="Arial" w:hAnsi="Arial" w:cs="Arial"/>
                <w:sz w:val="24"/>
                <w:szCs w:val="24"/>
              </w:rPr>
              <w:t>1.37</w:t>
            </w:r>
          </w:p>
        </w:tc>
        <w:tc>
          <w:tcPr>
            <w:tcW w:w="992" w:type="dxa"/>
            <w:tcBorders>
              <w:top w:val="single" w:sz="4" w:space="0" w:color="auto"/>
              <w:left w:val="nil"/>
              <w:bottom w:val="single" w:sz="4" w:space="0" w:color="auto"/>
              <w:right w:val="single" w:sz="4" w:space="0" w:color="auto"/>
            </w:tcBorders>
            <w:noWrap/>
            <w:hideMark/>
          </w:tcPr>
          <w:p w14:paraId="64EB56DF" w14:textId="462B2C29" w:rsidR="00A60A85" w:rsidRPr="005F53CF" w:rsidRDefault="00A60A85" w:rsidP="003A22EC">
            <w:pPr>
              <w:spacing w:after="0"/>
              <w:jc w:val="right"/>
              <w:rPr>
                <w:rFonts w:ascii="Arial" w:hAnsi="Arial" w:cs="Arial"/>
                <w:color w:val="000000"/>
                <w:sz w:val="24"/>
                <w:szCs w:val="24"/>
                <w:lang w:eastAsia="en-GB"/>
              </w:rPr>
            </w:pPr>
            <w:r w:rsidRPr="005F53CF">
              <w:rPr>
                <w:rFonts w:ascii="Arial" w:hAnsi="Arial" w:cs="Arial"/>
                <w:sz w:val="24"/>
                <w:szCs w:val="24"/>
              </w:rPr>
              <w:t>£</w:t>
            </w:r>
            <w:r w:rsidR="003A22EC">
              <w:rPr>
                <w:rFonts w:ascii="Arial" w:hAnsi="Arial" w:cs="Arial"/>
                <w:sz w:val="24"/>
                <w:szCs w:val="24"/>
              </w:rPr>
              <w:t>6.77</w:t>
            </w:r>
          </w:p>
        </w:tc>
      </w:tr>
      <w:tr w:rsidR="0036567A" w:rsidRPr="005F53CF" w14:paraId="364D5753" w14:textId="77777777" w:rsidTr="0036567A">
        <w:trPr>
          <w:trHeight w:val="63"/>
        </w:trPr>
        <w:tc>
          <w:tcPr>
            <w:tcW w:w="1702" w:type="dxa"/>
            <w:tcBorders>
              <w:top w:val="nil"/>
              <w:left w:val="single" w:sz="4" w:space="0" w:color="auto"/>
              <w:bottom w:val="single" w:sz="4" w:space="0" w:color="auto"/>
              <w:right w:val="single" w:sz="4" w:space="0" w:color="auto"/>
            </w:tcBorders>
            <w:hideMark/>
          </w:tcPr>
          <w:p w14:paraId="7F5E4B18" w14:textId="77777777" w:rsidR="00A60A85" w:rsidRPr="005F53CF" w:rsidRDefault="00A60A85">
            <w:pPr>
              <w:spacing w:after="0"/>
              <w:rPr>
                <w:rFonts w:ascii="Arial" w:hAnsi="Arial" w:cs="Arial"/>
                <w:color w:val="000000"/>
                <w:sz w:val="24"/>
                <w:szCs w:val="24"/>
                <w:lang w:eastAsia="en-GB"/>
              </w:rPr>
            </w:pPr>
            <w:r w:rsidRPr="005F53CF">
              <w:rPr>
                <w:rFonts w:ascii="Arial" w:hAnsi="Arial" w:cs="Arial"/>
                <w:color w:val="000000"/>
                <w:sz w:val="24"/>
                <w:szCs w:val="24"/>
                <w:lang w:eastAsia="en-GB"/>
              </w:rPr>
              <w:t>Full Application</w:t>
            </w:r>
          </w:p>
        </w:tc>
        <w:tc>
          <w:tcPr>
            <w:tcW w:w="1418" w:type="dxa"/>
            <w:tcBorders>
              <w:top w:val="nil"/>
              <w:left w:val="nil"/>
              <w:bottom w:val="single" w:sz="4" w:space="0" w:color="auto"/>
              <w:right w:val="single" w:sz="4" w:space="0" w:color="auto"/>
            </w:tcBorders>
            <w:noWrap/>
            <w:hideMark/>
          </w:tcPr>
          <w:p w14:paraId="5F73E016" w14:textId="77777777" w:rsidR="00A60A85" w:rsidRPr="005F53CF" w:rsidRDefault="00A60A85">
            <w:pPr>
              <w:spacing w:after="0"/>
              <w:jc w:val="right"/>
              <w:rPr>
                <w:rFonts w:ascii="Arial" w:hAnsi="Arial" w:cs="Arial"/>
                <w:color w:val="000000"/>
                <w:sz w:val="24"/>
                <w:szCs w:val="24"/>
                <w:lang w:eastAsia="en-GB"/>
              </w:rPr>
            </w:pPr>
            <w:r w:rsidRPr="005F53CF">
              <w:rPr>
                <w:rFonts w:ascii="Arial" w:hAnsi="Arial" w:cs="Arial"/>
                <w:sz w:val="24"/>
                <w:szCs w:val="24"/>
              </w:rPr>
              <w:t>£0.0</w:t>
            </w:r>
          </w:p>
        </w:tc>
        <w:tc>
          <w:tcPr>
            <w:tcW w:w="834" w:type="dxa"/>
            <w:tcBorders>
              <w:top w:val="nil"/>
              <w:left w:val="nil"/>
              <w:bottom w:val="single" w:sz="4" w:space="0" w:color="auto"/>
              <w:right w:val="single" w:sz="4" w:space="0" w:color="auto"/>
            </w:tcBorders>
            <w:noWrap/>
            <w:hideMark/>
          </w:tcPr>
          <w:p w14:paraId="7B689C4E" w14:textId="77777777" w:rsidR="00A60A85" w:rsidRPr="005F53CF" w:rsidRDefault="00A60A85">
            <w:pPr>
              <w:spacing w:after="0"/>
              <w:jc w:val="right"/>
              <w:rPr>
                <w:rFonts w:ascii="Arial" w:hAnsi="Arial" w:cs="Arial"/>
                <w:color w:val="000000"/>
                <w:sz w:val="24"/>
                <w:szCs w:val="24"/>
                <w:lang w:eastAsia="en-GB"/>
              </w:rPr>
            </w:pPr>
            <w:r w:rsidRPr="005F53CF">
              <w:rPr>
                <w:rFonts w:ascii="Arial" w:hAnsi="Arial" w:cs="Arial"/>
                <w:sz w:val="24"/>
                <w:szCs w:val="24"/>
              </w:rPr>
              <w:t>£0.0</w:t>
            </w:r>
          </w:p>
        </w:tc>
        <w:tc>
          <w:tcPr>
            <w:tcW w:w="1292" w:type="dxa"/>
            <w:tcBorders>
              <w:top w:val="nil"/>
              <w:left w:val="nil"/>
              <w:bottom w:val="single" w:sz="4" w:space="0" w:color="auto"/>
              <w:right w:val="single" w:sz="4" w:space="0" w:color="auto"/>
            </w:tcBorders>
            <w:noWrap/>
            <w:hideMark/>
          </w:tcPr>
          <w:p w14:paraId="77416740" w14:textId="77777777" w:rsidR="00A60A85" w:rsidRPr="005F53CF" w:rsidRDefault="00A60A85">
            <w:pPr>
              <w:spacing w:after="0"/>
              <w:jc w:val="right"/>
              <w:rPr>
                <w:rFonts w:ascii="Arial" w:hAnsi="Arial" w:cs="Arial"/>
                <w:color w:val="000000"/>
                <w:sz w:val="24"/>
                <w:szCs w:val="24"/>
                <w:lang w:eastAsia="en-GB"/>
              </w:rPr>
            </w:pPr>
            <w:r w:rsidRPr="005F53CF">
              <w:rPr>
                <w:rFonts w:ascii="Arial" w:hAnsi="Arial" w:cs="Arial"/>
                <w:sz w:val="24"/>
                <w:szCs w:val="24"/>
              </w:rPr>
              <w:t>£2.3</w:t>
            </w:r>
          </w:p>
        </w:tc>
        <w:tc>
          <w:tcPr>
            <w:tcW w:w="1134" w:type="dxa"/>
            <w:tcBorders>
              <w:top w:val="nil"/>
              <w:left w:val="nil"/>
              <w:bottom w:val="single" w:sz="4" w:space="0" w:color="auto"/>
              <w:right w:val="single" w:sz="4" w:space="0" w:color="auto"/>
            </w:tcBorders>
            <w:noWrap/>
            <w:hideMark/>
          </w:tcPr>
          <w:p w14:paraId="2322F977" w14:textId="77777777" w:rsidR="00A60A85" w:rsidRPr="005F53CF" w:rsidRDefault="00A60A85">
            <w:pPr>
              <w:spacing w:after="0"/>
              <w:jc w:val="right"/>
              <w:rPr>
                <w:rFonts w:ascii="Arial" w:hAnsi="Arial" w:cs="Arial"/>
                <w:color w:val="000000"/>
                <w:sz w:val="24"/>
                <w:szCs w:val="24"/>
                <w:lang w:eastAsia="en-GB"/>
              </w:rPr>
            </w:pPr>
            <w:r w:rsidRPr="005F53CF">
              <w:rPr>
                <w:rFonts w:ascii="Arial" w:hAnsi="Arial" w:cs="Arial"/>
                <w:sz w:val="24"/>
                <w:szCs w:val="24"/>
              </w:rPr>
              <w:t>£0.0</w:t>
            </w:r>
          </w:p>
        </w:tc>
        <w:tc>
          <w:tcPr>
            <w:tcW w:w="1417" w:type="dxa"/>
            <w:tcBorders>
              <w:top w:val="nil"/>
              <w:left w:val="nil"/>
              <w:bottom w:val="single" w:sz="4" w:space="0" w:color="auto"/>
              <w:right w:val="single" w:sz="4" w:space="0" w:color="auto"/>
            </w:tcBorders>
            <w:noWrap/>
            <w:hideMark/>
          </w:tcPr>
          <w:p w14:paraId="0FC8FD69" w14:textId="77777777" w:rsidR="00A60A85" w:rsidRPr="005F53CF" w:rsidRDefault="00A60A85">
            <w:pPr>
              <w:spacing w:after="0"/>
              <w:jc w:val="right"/>
              <w:rPr>
                <w:rFonts w:ascii="Arial" w:hAnsi="Arial" w:cs="Arial"/>
                <w:color w:val="000000"/>
                <w:sz w:val="24"/>
                <w:szCs w:val="24"/>
                <w:lang w:eastAsia="en-GB"/>
              </w:rPr>
            </w:pPr>
            <w:r w:rsidRPr="005F53CF">
              <w:rPr>
                <w:rFonts w:ascii="Arial" w:hAnsi="Arial" w:cs="Arial"/>
                <w:sz w:val="24"/>
                <w:szCs w:val="24"/>
              </w:rPr>
              <w:t>£5.3</w:t>
            </w:r>
          </w:p>
        </w:tc>
        <w:tc>
          <w:tcPr>
            <w:tcW w:w="1276" w:type="dxa"/>
            <w:tcBorders>
              <w:top w:val="nil"/>
              <w:left w:val="nil"/>
              <w:bottom w:val="single" w:sz="4" w:space="0" w:color="auto"/>
              <w:right w:val="single" w:sz="4" w:space="0" w:color="auto"/>
            </w:tcBorders>
            <w:noWrap/>
            <w:hideMark/>
          </w:tcPr>
          <w:p w14:paraId="2CAE5AF2" w14:textId="77777777" w:rsidR="00A60A85" w:rsidRPr="005F53CF" w:rsidRDefault="00A60A85">
            <w:pPr>
              <w:spacing w:after="0"/>
              <w:jc w:val="right"/>
              <w:rPr>
                <w:rFonts w:ascii="Arial" w:hAnsi="Arial" w:cs="Arial"/>
                <w:color w:val="000000"/>
                <w:sz w:val="24"/>
                <w:szCs w:val="24"/>
                <w:lang w:eastAsia="en-GB"/>
              </w:rPr>
            </w:pPr>
            <w:r w:rsidRPr="005F53CF">
              <w:rPr>
                <w:rFonts w:ascii="Arial" w:hAnsi="Arial" w:cs="Arial"/>
                <w:sz w:val="24"/>
                <w:szCs w:val="24"/>
              </w:rPr>
              <w:t>£0.0</w:t>
            </w:r>
          </w:p>
        </w:tc>
        <w:tc>
          <w:tcPr>
            <w:tcW w:w="992" w:type="dxa"/>
            <w:tcBorders>
              <w:top w:val="nil"/>
              <w:left w:val="nil"/>
              <w:bottom w:val="single" w:sz="4" w:space="0" w:color="auto"/>
              <w:right w:val="single" w:sz="4" w:space="0" w:color="auto"/>
            </w:tcBorders>
            <w:noWrap/>
            <w:hideMark/>
          </w:tcPr>
          <w:p w14:paraId="37E3B96D" w14:textId="0149F5CB" w:rsidR="00A60A85" w:rsidRPr="005F53CF" w:rsidRDefault="00A60A85" w:rsidP="00A0356C">
            <w:pPr>
              <w:spacing w:after="0"/>
              <w:jc w:val="right"/>
              <w:rPr>
                <w:rFonts w:ascii="Arial" w:hAnsi="Arial" w:cs="Arial"/>
                <w:color w:val="000000"/>
                <w:sz w:val="24"/>
                <w:szCs w:val="24"/>
                <w:lang w:eastAsia="en-GB"/>
              </w:rPr>
            </w:pPr>
            <w:r w:rsidRPr="005F53CF">
              <w:rPr>
                <w:rFonts w:ascii="Arial" w:hAnsi="Arial" w:cs="Arial"/>
                <w:sz w:val="24"/>
                <w:szCs w:val="24"/>
              </w:rPr>
              <w:t>£</w:t>
            </w:r>
            <w:r w:rsidR="00A0356C">
              <w:rPr>
                <w:rFonts w:ascii="Arial" w:hAnsi="Arial" w:cs="Arial"/>
                <w:sz w:val="24"/>
                <w:szCs w:val="24"/>
              </w:rPr>
              <w:t>0.5</w:t>
            </w:r>
          </w:p>
        </w:tc>
      </w:tr>
      <w:tr w:rsidR="0036567A" w:rsidRPr="005F53CF" w14:paraId="371A182B" w14:textId="77777777" w:rsidTr="0036567A">
        <w:trPr>
          <w:trHeight w:val="734"/>
        </w:trPr>
        <w:tc>
          <w:tcPr>
            <w:tcW w:w="1702" w:type="dxa"/>
            <w:tcBorders>
              <w:top w:val="nil"/>
              <w:left w:val="single" w:sz="4" w:space="0" w:color="auto"/>
              <w:bottom w:val="single" w:sz="4" w:space="0" w:color="auto"/>
              <w:right w:val="single" w:sz="4" w:space="0" w:color="auto"/>
            </w:tcBorders>
            <w:hideMark/>
          </w:tcPr>
          <w:p w14:paraId="2FB29027" w14:textId="6CD67942" w:rsidR="0036567A" w:rsidRDefault="00A60A85">
            <w:pPr>
              <w:spacing w:after="0"/>
              <w:rPr>
                <w:rFonts w:ascii="Arial" w:hAnsi="Arial" w:cs="Arial"/>
                <w:color w:val="000000"/>
                <w:sz w:val="24"/>
                <w:szCs w:val="24"/>
                <w:lang w:eastAsia="en-GB"/>
              </w:rPr>
            </w:pPr>
            <w:r w:rsidRPr="005F53CF">
              <w:rPr>
                <w:rFonts w:ascii="Arial" w:hAnsi="Arial" w:cs="Arial"/>
                <w:color w:val="000000"/>
                <w:sz w:val="24"/>
                <w:szCs w:val="24"/>
                <w:lang w:eastAsia="en-GB"/>
              </w:rPr>
              <w:t>Funding agreement in Development</w:t>
            </w:r>
          </w:p>
          <w:p w14:paraId="501BE4FE" w14:textId="77777777" w:rsidR="0036567A" w:rsidRPr="005F53CF" w:rsidRDefault="0036567A">
            <w:pPr>
              <w:spacing w:after="0"/>
              <w:rPr>
                <w:rFonts w:ascii="Arial" w:hAnsi="Arial" w:cs="Arial"/>
                <w:color w:val="000000"/>
                <w:sz w:val="24"/>
                <w:szCs w:val="24"/>
                <w:lang w:eastAsia="en-GB"/>
              </w:rPr>
            </w:pPr>
          </w:p>
        </w:tc>
        <w:tc>
          <w:tcPr>
            <w:tcW w:w="1418" w:type="dxa"/>
            <w:tcBorders>
              <w:top w:val="nil"/>
              <w:left w:val="nil"/>
              <w:bottom w:val="single" w:sz="4" w:space="0" w:color="auto"/>
              <w:right w:val="single" w:sz="4" w:space="0" w:color="auto"/>
            </w:tcBorders>
            <w:noWrap/>
            <w:hideMark/>
          </w:tcPr>
          <w:p w14:paraId="592CB5F2" w14:textId="77777777" w:rsidR="00A60A85" w:rsidRPr="005F53CF" w:rsidRDefault="00A60A85">
            <w:pPr>
              <w:spacing w:after="0"/>
              <w:jc w:val="right"/>
              <w:rPr>
                <w:rFonts w:ascii="Arial" w:hAnsi="Arial" w:cs="Arial"/>
                <w:color w:val="000000"/>
                <w:sz w:val="24"/>
                <w:szCs w:val="24"/>
                <w:lang w:eastAsia="en-GB"/>
              </w:rPr>
            </w:pPr>
            <w:r w:rsidRPr="005F53CF">
              <w:rPr>
                <w:rFonts w:ascii="Arial" w:hAnsi="Arial" w:cs="Arial"/>
                <w:sz w:val="24"/>
                <w:szCs w:val="24"/>
              </w:rPr>
              <w:t>£0.0</w:t>
            </w:r>
          </w:p>
        </w:tc>
        <w:tc>
          <w:tcPr>
            <w:tcW w:w="834" w:type="dxa"/>
            <w:tcBorders>
              <w:top w:val="nil"/>
              <w:left w:val="nil"/>
              <w:bottom w:val="single" w:sz="4" w:space="0" w:color="auto"/>
              <w:right w:val="single" w:sz="4" w:space="0" w:color="auto"/>
            </w:tcBorders>
            <w:noWrap/>
            <w:hideMark/>
          </w:tcPr>
          <w:p w14:paraId="234CDE4E" w14:textId="77777777" w:rsidR="00A60A85" w:rsidRPr="005F53CF" w:rsidRDefault="00A60A85">
            <w:pPr>
              <w:spacing w:after="0"/>
              <w:jc w:val="right"/>
              <w:rPr>
                <w:rFonts w:ascii="Arial" w:hAnsi="Arial" w:cs="Arial"/>
                <w:color w:val="000000"/>
                <w:sz w:val="24"/>
                <w:szCs w:val="24"/>
                <w:lang w:eastAsia="en-GB"/>
              </w:rPr>
            </w:pPr>
            <w:r w:rsidRPr="005F53CF">
              <w:rPr>
                <w:rFonts w:ascii="Arial" w:hAnsi="Arial" w:cs="Arial"/>
                <w:sz w:val="24"/>
                <w:szCs w:val="24"/>
              </w:rPr>
              <w:t>£0.0</w:t>
            </w:r>
          </w:p>
        </w:tc>
        <w:tc>
          <w:tcPr>
            <w:tcW w:w="1292" w:type="dxa"/>
            <w:tcBorders>
              <w:top w:val="nil"/>
              <w:left w:val="nil"/>
              <w:bottom w:val="single" w:sz="4" w:space="0" w:color="auto"/>
              <w:right w:val="single" w:sz="4" w:space="0" w:color="auto"/>
            </w:tcBorders>
            <w:noWrap/>
            <w:hideMark/>
          </w:tcPr>
          <w:p w14:paraId="56F9248F" w14:textId="0D671882" w:rsidR="00A60A85" w:rsidRPr="005F53CF" w:rsidRDefault="00A60A85" w:rsidP="00825ED4">
            <w:pPr>
              <w:spacing w:after="0"/>
              <w:jc w:val="right"/>
              <w:rPr>
                <w:rFonts w:ascii="Arial" w:hAnsi="Arial" w:cs="Arial"/>
                <w:color w:val="000000"/>
                <w:sz w:val="24"/>
                <w:szCs w:val="24"/>
                <w:lang w:eastAsia="en-GB"/>
              </w:rPr>
            </w:pPr>
            <w:r w:rsidRPr="005F53CF">
              <w:rPr>
                <w:rFonts w:ascii="Arial" w:hAnsi="Arial" w:cs="Arial"/>
                <w:sz w:val="24"/>
                <w:szCs w:val="24"/>
              </w:rPr>
              <w:t>£</w:t>
            </w:r>
            <w:r w:rsidR="00825ED4">
              <w:rPr>
                <w:rFonts w:ascii="Arial" w:hAnsi="Arial" w:cs="Arial"/>
                <w:sz w:val="24"/>
                <w:szCs w:val="24"/>
              </w:rPr>
              <w:t>0.5</w:t>
            </w:r>
          </w:p>
        </w:tc>
        <w:tc>
          <w:tcPr>
            <w:tcW w:w="1134" w:type="dxa"/>
            <w:tcBorders>
              <w:top w:val="nil"/>
              <w:left w:val="nil"/>
              <w:bottom w:val="single" w:sz="4" w:space="0" w:color="auto"/>
              <w:right w:val="single" w:sz="4" w:space="0" w:color="auto"/>
            </w:tcBorders>
            <w:noWrap/>
            <w:hideMark/>
          </w:tcPr>
          <w:p w14:paraId="2EFC7411" w14:textId="77777777" w:rsidR="00A60A85" w:rsidRPr="005F53CF" w:rsidRDefault="00A60A85">
            <w:pPr>
              <w:spacing w:after="0"/>
              <w:jc w:val="right"/>
              <w:rPr>
                <w:rFonts w:ascii="Arial" w:hAnsi="Arial" w:cs="Arial"/>
                <w:color w:val="000000"/>
                <w:sz w:val="24"/>
                <w:szCs w:val="24"/>
                <w:lang w:eastAsia="en-GB"/>
              </w:rPr>
            </w:pPr>
            <w:r w:rsidRPr="005F53CF">
              <w:rPr>
                <w:rFonts w:ascii="Arial" w:hAnsi="Arial" w:cs="Arial"/>
                <w:sz w:val="24"/>
                <w:szCs w:val="24"/>
              </w:rPr>
              <w:t>£0.0</w:t>
            </w:r>
          </w:p>
        </w:tc>
        <w:tc>
          <w:tcPr>
            <w:tcW w:w="1417" w:type="dxa"/>
            <w:tcBorders>
              <w:top w:val="nil"/>
              <w:left w:val="nil"/>
              <w:bottom w:val="single" w:sz="4" w:space="0" w:color="auto"/>
              <w:right w:val="single" w:sz="4" w:space="0" w:color="auto"/>
            </w:tcBorders>
            <w:noWrap/>
            <w:hideMark/>
          </w:tcPr>
          <w:p w14:paraId="25FD7C28" w14:textId="77777777" w:rsidR="00A60A85" w:rsidRPr="005F53CF" w:rsidRDefault="00A60A85">
            <w:pPr>
              <w:spacing w:after="0"/>
              <w:jc w:val="right"/>
              <w:rPr>
                <w:rFonts w:ascii="Arial" w:hAnsi="Arial" w:cs="Arial"/>
                <w:color w:val="000000"/>
                <w:sz w:val="24"/>
                <w:szCs w:val="24"/>
                <w:lang w:eastAsia="en-GB"/>
              </w:rPr>
            </w:pPr>
            <w:r w:rsidRPr="005F53CF">
              <w:rPr>
                <w:rFonts w:ascii="Arial" w:hAnsi="Arial" w:cs="Arial"/>
                <w:sz w:val="24"/>
                <w:szCs w:val="24"/>
              </w:rPr>
              <w:t>£0.0</w:t>
            </w:r>
          </w:p>
        </w:tc>
        <w:tc>
          <w:tcPr>
            <w:tcW w:w="1276" w:type="dxa"/>
            <w:tcBorders>
              <w:top w:val="nil"/>
              <w:left w:val="nil"/>
              <w:bottom w:val="single" w:sz="4" w:space="0" w:color="auto"/>
              <w:right w:val="single" w:sz="4" w:space="0" w:color="auto"/>
            </w:tcBorders>
            <w:noWrap/>
            <w:hideMark/>
          </w:tcPr>
          <w:p w14:paraId="0890C50E" w14:textId="77777777" w:rsidR="00A60A85" w:rsidRPr="005F53CF" w:rsidRDefault="00A60A85">
            <w:pPr>
              <w:spacing w:after="0"/>
              <w:jc w:val="right"/>
              <w:rPr>
                <w:rFonts w:ascii="Arial" w:hAnsi="Arial" w:cs="Arial"/>
                <w:color w:val="000000"/>
                <w:sz w:val="24"/>
                <w:szCs w:val="24"/>
                <w:lang w:eastAsia="en-GB"/>
              </w:rPr>
            </w:pPr>
            <w:r w:rsidRPr="005F53CF">
              <w:rPr>
                <w:rFonts w:ascii="Arial" w:hAnsi="Arial" w:cs="Arial"/>
                <w:sz w:val="24"/>
                <w:szCs w:val="24"/>
              </w:rPr>
              <w:t>£0.0</w:t>
            </w:r>
          </w:p>
        </w:tc>
        <w:tc>
          <w:tcPr>
            <w:tcW w:w="992" w:type="dxa"/>
            <w:tcBorders>
              <w:top w:val="nil"/>
              <w:left w:val="nil"/>
              <w:bottom w:val="single" w:sz="4" w:space="0" w:color="auto"/>
              <w:right w:val="single" w:sz="4" w:space="0" w:color="auto"/>
            </w:tcBorders>
            <w:noWrap/>
            <w:hideMark/>
          </w:tcPr>
          <w:p w14:paraId="34E4583E" w14:textId="4723E9B3" w:rsidR="00A60A85" w:rsidRPr="005F53CF" w:rsidRDefault="00A60A85" w:rsidP="00A0356C">
            <w:pPr>
              <w:spacing w:after="0"/>
              <w:jc w:val="right"/>
              <w:rPr>
                <w:rFonts w:ascii="Arial" w:hAnsi="Arial" w:cs="Arial"/>
                <w:color w:val="000000"/>
                <w:sz w:val="24"/>
                <w:szCs w:val="24"/>
                <w:lang w:eastAsia="en-GB"/>
              </w:rPr>
            </w:pPr>
            <w:r w:rsidRPr="005F53CF">
              <w:rPr>
                <w:rFonts w:ascii="Arial" w:hAnsi="Arial" w:cs="Arial"/>
                <w:sz w:val="24"/>
                <w:szCs w:val="24"/>
              </w:rPr>
              <w:t>£</w:t>
            </w:r>
            <w:r w:rsidR="00A0356C">
              <w:rPr>
                <w:rFonts w:ascii="Arial" w:hAnsi="Arial" w:cs="Arial"/>
                <w:sz w:val="24"/>
                <w:szCs w:val="24"/>
              </w:rPr>
              <w:t>0.6</w:t>
            </w:r>
          </w:p>
        </w:tc>
      </w:tr>
      <w:tr w:rsidR="0036567A" w:rsidRPr="005F53CF" w14:paraId="517F1039" w14:textId="77777777" w:rsidTr="0036567A">
        <w:trPr>
          <w:trHeight w:val="270"/>
        </w:trPr>
        <w:tc>
          <w:tcPr>
            <w:tcW w:w="1702" w:type="dxa"/>
            <w:tcBorders>
              <w:top w:val="nil"/>
              <w:left w:val="single" w:sz="4" w:space="0" w:color="auto"/>
              <w:bottom w:val="single" w:sz="4" w:space="0" w:color="auto"/>
              <w:right w:val="single" w:sz="4" w:space="0" w:color="auto"/>
            </w:tcBorders>
          </w:tcPr>
          <w:p w14:paraId="4BA313E7" w14:textId="301A768A" w:rsidR="0036567A" w:rsidRPr="005F53CF" w:rsidRDefault="0036567A" w:rsidP="0036567A">
            <w:pPr>
              <w:spacing w:after="0"/>
              <w:jc w:val="center"/>
              <w:rPr>
                <w:rFonts w:ascii="Arial" w:hAnsi="Arial" w:cs="Arial"/>
                <w:color w:val="000000"/>
                <w:sz w:val="24"/>
                <w:szCs w:val="24"/>
                <w:lang w:eastAsia="en-GB"/>
              </w:rPr>
            </w:pPr>
            <w:r w:rsidRPr="005F53CF">
              <w:rPr>
                <w:rFonts w:ascii="Arial" w:hAnsi="Arial" w:cs="Arial"/>
                <w:sz w:val="24"/>
                <w:szCs w:val="24"/>
                <w:lang w:eastAsia="en-GB"/>
              </w:rPr>
              <w:t>Status</w:t>
            </w:r>
          </w:p>
        </w:tc>
        <w:tc>
          <w:tcPr>
            <w:tcW w:w="1418" w:type="dxa"/>
            <w:tcBorders>
              <w:top w:val="nil"/>
              <w:left w:val="nil"/>
              <w:bottom w:val="single" w:sz="4" w:space="0" w:color="auto"/>
              <w:right w:val="single" w:sz="4" w:space="0" w:color="auto"/>
            </w:tcBorders>
            <w:noWrap/>
          </w:tcPr>
          <w:p w14:paraId="02425C03" w14:textId="592C4040" w:rsidR="0036567A" w:rsidRDefault="0036567A" w:rsidP="0036567A">
            <w:pPr>
              <w:spacing w:after="0"/>
              <w:jc w:val="center"/>
              <w:rPr>
                <w:rFonts w:ascii="Arial" w:hAnsi="Arial" w:cs="Arial"/>
                <w:color w:val="000000"/>
                <w:sz w:val="24"/>
                <w:szCs w:val="24"/>
                <w:lang w:eastAsia="en-GB"/>
              </w:rPr>
            </w:pPr>
            <w:r w:rsidRPr="005F53CF">
              <w:rPr>
                <w:rFonts w:ascii="Arial" w:hAnsi="Arial" w:cs="Arial"/>
                <w:color w:val="000000"/>
                <w:sz w:val="24"/>
                <w:szCs w:val="24"/>
                <w:lang w:eastAsia="en-GB"/>
              </w:rPr>
              <w:t>1</w:t>
            </w:r>
          </w:p>
          <w:p w14:paraId="4A3F5F5B" w14:textId="46D08454" w:rsidR="0036567A" w:rsidRPr="005F53CF" w:rsidRDefault="0036567A" w:rsidP="0036567A">
            <w:pPr>
              <w:spacing w:after="0"/>
              <w:jc w:val="center"/>
              <w:rPr>
                <w:rFonts w:ascii="Arial" w:hAnsi="Arial" w:cs="Arial"/>
                <w:sz w:val="24"/>
                <w:szCs w:val="24"/>
              </w:rPr>
            </w:pPr>
            <w:r w:rsidRPr="005F53CF">
              <w:rPr>
                <w:rFonts w:ascii="Arial" w:hAnsi="Arial" w:cs="Arial"/>
                <w:color w:val="000000"/>
                <w:sz w:val="24"/>
                <w:szCs w:val="24"/>
                <w:lang w:eastAsia="en-GB"/>
              </w:rPr>
              <w:t>R&amp;D and Innovation</w:t>
            </w:r>
          </w:p>
        </w:tc>
        <w:tc>
          <w:tcPr>
            <w:tcW w:w="834" w:type="dxa"/>
            <w:tcBorders>
              <w:top w:val="nil"/>
              <w:left w:val="nil"/>
              <w:bottom w:val="single" w:sz="4" w:space="0" w:color="auto"/>
              <w:right w:val="single" w:sz="4" w:space="0" w:color="auto"/>
            </w:tcBorders>
            <w:noWrap/>
          </w:tcPr>
          <w:p w14:paraId="7C3A091C" w14:textId="48716EEC" w:rsidR="0036567A" w:rsidRPr="005F53CF" w:rsidRDefault="0036567A" w:rsidP="0036567A">
            <w:pPr>
              <w:spacing w:after="0"/>
              <w:jc w:val="center"/>
              <w:rPr>
                <w:rFonts w:ascii="Arial" w:hAnsi="Arial" w:cs="Arial"/>
                <w:sz w:val="24"/>
                <w:szCs w:val="24"/>
              </w:rPr>
            </w:pPr>
            <w:r w:rsidRPr="005F53CF">
              <w:rPr>
                <w:rFonts w:ascii="Arial" w:hAnsi="Arial" w:cs="Arial"/>
                <w:color w:val="000000"/>
                <w:sz w:val="24"/>
                <w:szCs w:val="24"/>
                <w:lang w:eastAsia="en-GB"/>
              </w:rPr>
              <w:t>2 ICT</w:t>
            </w:r>
          </w:p>
        </w:tc>
        <w:tc>
          <w:tcPr>
            <w:tcW w:w="1292" w:type="dxa"/>
            <w:tcBorders>
              <w:top w:val="nil"/>
              <w:left w:val="nil"/>
              <w:bottom w:val="single" w:sz="4" w:space="0" w:color="auto"/>
              <w:right w:val="single" w:sz="4" w:space="0" w:color="auto"/>
            </w:tcBorders>
            <w:noWrap/>
          </w:tcPr>
          <w:p w14:paraId="597C7C51" w14:textId="42B92D80" w:rsidR="0036567A" w:rsidRPr="005F53CF" w:rsidRDefault="0036567A" w:rsidP="0036567A">
            <w:pPr>
              <w:spacing w:after="0"/>
              <w:jc w:val="center"/>
              <w:rPr>
                <w:rFonts w:ascii="Arial" w:hAnsi="Arial" w:cs="Arial"/>
                <w:sz w:val="24"/>
                <w:szCs w:val="24"/>
              </w:rPr>
            </w:pPr>
            <w:r w:rsidRPr="005F53CF">
              <w:rPr>
                <w:rFonts w:ascii="Arial" w:hAnsi="Arial" w:cs="Arial"/>
                <w:color w:val="000000"/>
                <w:sz w:val="24"/>
                <w:szCs w:val="24"/>
                <w:lang w:eastAsia="en-GB"/>
              </w:rPr>
              <w:t xml:space="preserve">3 </w:t>
            </w:r>
            <w:proofErr w:type="spellStart"/>
            <w:r w:rsidRPr="005F53CF">
              <w:rPr>
                <w:rFonts w:ascii="Arial" w:hAnsi="Arial" w:cs="Arial"/>
                <w:color w:val="000000"/>
                <w:sz w:val="24"/>
                <w:szCs w:val="24"/>
                <w:lang w:eastAsia="en-GB"/>
              </w:rPr>
              <w:t>Entrepren-eurship</w:t>
            </w:r>
            <w:proofErr w:type="spellEnd"/>
          </w:p>
        </w:tc>
        <w:tc>
          <w:tcPr>
            <w:tcW w:w="1134" w:type="dxa"/>
            <w:tcBorders>
              <w:top w:val="nil"/>
              <w:left w:val="nil"/>
              <w:bottom w:val="single" w:sz="4" w:space="0" w:color="auto"/>
              <w:right w:val="single" w:sz="4" w:space="0" w:color="auto"/>
            </w:tcBorders>
            <w:noWrap/>
          </w:tcPr>
          <w:p w14:paraId="55135234" w14:textId="11A9AACC" w:rsidR="0036567A" w:rsidRDefault="0036567A" w:rsidP="0036567A">
            <w:pPr>
              <w:spacing w:after="0"/>
              <w:jc w:val="center"/>
              <w:rPr>
                <w:rFonts w:ascii="Arial" w:hAnsi="Arial" w:cs="Arial"/>
                <w:color w:val="000000"/>
                <w:sz w:val="24"/>
                <w:szCs w:val="24"/>
                <w:lang w:eastAsia="en-GB"/>
              </w:rPr>
            </w:pPr>
            <w:r w:rsidRPr="005F53CF">
              <w:rPr>
                <w:rFonts w:ascii="Arial" w:hAnsi="Arial" w:cs="Arial"/>
                <w:color w:val="000000"/>
                <w:sz w:val="24"/>
                <w:szCs w:val="24"/>
                <w:lang w:eastAsia="en-GB"/>
              </w:rPr>
              <w:t>4</w:t>
            </w:r>
          </w:p>
          <w:p w14:paraId="17BA2717" w14:textId="61457266" w:rsidR="0036567A" w:rsidRPr="005F53CF" w:rsidRDefault="0036567A" w:rsidP="0036567A">
            <w:pPr>
              <w:spacing w:after="0"/>
              <w:jc w:val="center"/>
              <w:rPr>
                <w:rFonts w:ascii="Arial" w:hAnsi="Arial" w:cs="Arial"/>
                <w:sz w:val="24"/>
                <w:szCs w:val="24"/>
              </w:rPr>
            </w:pPr>
            <w:r w:rsidRPr="005F53CF">
              <w:rPr>
                <w:rFonts w:ascii="Arial" w:hAnsi="Arial" w:cs="Arial"/>
                <w:color w:val="000000"/>
                <w:sz w:val="24"/>
                <w:szCs w:val="24"/>
                <w:lang w:eastAsia="en-GB"/>
              </w:rPr>
              <w:t>Low Carbon</w:t>
            </w:r>
          </w:p>
        </w:tc>
        <w:tc>
          <w:tcPr>
            <w:tcW w:w="1417" w:type="dxa"/>
            <w:tcBorders>
              <w:top w:val="nil"/>
              <w:left w:val="nil"/>
              <w:bottom w:val="single" w:sz="4" w:space="0" w:color="auto"/>
              <w:right w:val="single" w:sz="4" w:space="0" w:color="auto"/>
            </w:tcBorders>
            <w:noWrap/>
          </w:tcPr>
          <w:p w14:paraId="4042A745" w14:textId="350A1BE4" w:rsidR="0036567A" w:rsidRDefault="0036567A" w:rsidP="0036567A">
            <w:pPr>
              <w:spacing w:after="0"/>
              <w:jc w:val="center"/>
              <w:rPr>
                <w:rFonts w:ascii="Arial" w:hAnsi="Arial" w:cs="Arial"/>
                <w:color w:val="000000"/>
                <w:sz w:val="24"/>
                <w:szCs w:val="24"/>
                <w:lang w:eastAsia="en-GB"/>
              </w:rPr>
            </w:pPr>
            <w:r w:rsidRPr="005F53CF">
              <w:rPr>
                <w:rFonts w:ascii="Arial" w:hAnsi="Arial" w:cs="Arial"/>
                <w:color w:val="000000"/>
                <w:sz w:val="24"/>
                <w:szCs w:val="24"/>
                <w:lang w:eastAsia="en-GB"/>
              </w:rPr>
              <w:t>5</w:t>
            </w:r>
          </w:p>
          <w:p w14:paraId="5B7A53E7" w14:textId="5817D157" w:rsidR="0036567A" w:rsidRPr="005F53CF" w:rsidRDefault="0036567A" w:rsidP="0036567A">
            <w:pPr>
              <w:spacing w:after="0"/>
              <w:jc w:val="center"/>
              <w:rPr>
                <w:rFonts w:ascii="Arial" w:hAnsi="Arial" w:cs="Arial"/>
                <w:sz w:val="24"/>
                <w:szCs w:val="24"/>
              </w:rPr>
            </w:pPr>
            <w:r w:rsidRPr="005F53CF">
              <w:rPr>
                <w:rFonts w:ascii="Arial" w:hAnsi="Arial" w:cs="Arial"/>
                <w:color w:val="000000"/>
                <w:sz w:val="24"/>
                <w:szCs w:val="24"/>
                <w:lang w:eastAsia="en-GB"/>
              </w:rPr>
              <w:t>Climate change adaptation</w:t>
            </w:r>
          </w:p>
        </w:tc>
        <w:tc>
          <w:tcPr>
            <w:tcW w:w="1276" w:type="dxa"/>
            <w:tcBorders>
              <w:top w:val="nil"/>
              <w:left w:val="nil"/>
              <w:bottom w:val="single" w:sz="4" w:space="0" w:color="auto"/>
              <w:right w:val="single" w:sz="4" w:space="0" w:color="auto"/>
            </w:tcBorders>
            <w:noWrap/>
          </w:tcPr>
          <w:p w14:paraId="7EF1A7BF" w14:textId="24C6D731" w:rsidR="0036567A" w:rsidRPr="005F53CF" w:rsidRDefault="0036567A" w:rsidP="0036567A">
            <w:pPr>
              <w:spacing w:after="0"/>
              <w:jc w:val="center"/>
              <w:rPr>
                <w:rFonts w:ascii="Arial" w:hAnsi="Arial" w:cs="Arial"/>
                <w:sz w:val="24"/>
                <w:szCs w:val="24"/>
              </w:rPr>
            </w:pPr>
            <w:r w:rsidRPr="005F53CF">
              <w:rPr>
                <w:rFonts w:ascii="Arial" w:hAnsi="Arial" w:cs="Arial"/>
                <w:color w:val="000000"/>
                <w:sz w:val="24"/>
                <w:szCs w:val="24"/>
                <w:lang w:eastAsia="en-GB"/>
              </w:rPr>
              <w:t>6 Resource efficiency</w:t>
            </w:r>
          </w:p>
        </w:tc>
        <w:tc>
          <w:tcPr>
            <w:tcW w:w="992" w:type="dxa"/>
            <w:tcBorders>
              <w:top w:val="nil"/>
              <w:left w:val="nil"/>
              <w:bottom w:val="single" w:sz="4" w:space="0" w:color="auto"/>
              <w:right w:val="single" w:sz="4" w:space="0" w:color="auto"/>
            </w:tcBorders>
            <w:noWrap/>
          </w:tcPr>
          <w:p w14:paraId="17BD3AA2" w14:textId="7B3A2B71" w:rsidR="0036567A" w:rsidRPr="005F53CF" w:rsidRDefault="0036567A" w:rsidP="0036567A">
            <w:pPr>
              <w:spacing w:after="0"/>
              <w:jc w:val="center"/>
              <w:rPr>
                <w:rFonts w:ascii="Arial" w:hAnsi="Arial" w:cs="Arial"/>
                <w:sz w:val="24"/>
                <w:szCs w:val="24"/>
              </w:rPr>
            </w:pPr>
            <w:r w:rsidRPr="005F53CF">
              <w:rPr>
                <w:rFonts w:ascii="Arial" w:hAnsi="Arial" w:cs="Arial"/>
                <w:color w:val="000000"/>
                <w:sz w:val="24"/>
                <w:szCs w:val="24"/>
                <w:lang w:eastAsia="en-GB"/>
              </w:rPr>
              <w:t>Total</w:t>
            </w:r>
          </w:p>
        </w:tc>
      </w:tr>
      <w:tr w:rsidR="0036567A" w:rsidRPr="005F53CF" w14:paraId="6C746B9D" w14:textId="77777777" w:rsidTr="0036567A">
        <w:trPr>
          <w:trHeight w:val="270"/>
        </w:trPr>
        <w:tc>
          <w:tcPr>
            <w:tcW w:w="1702" w:type="dxa"/>
            <w:tcBorders>
              <w:top w:val="nil"/>
              <w:left w:val="single" w:sz="4" w:space="0" w:color="auto"/>
              <w:bottom w:val="single" w:sz="4" w:space="0" w:color="auto"/>
              <w:right w:val="single" w:sz="4" w:space="0" w:color="auto"/>
            </w:tcBorders>
            <w:hideMark/>
          </w:tcPr>
          <w:p w14:paraId="7F1DF4B2" w14:textId="77777777" w:rsidR="0036567A" w:rsidRPr="005F53CF" w:rsidRDefault="0036567A">
            <w:pPr>
              <w:spacing w:after="0"/>
              <w:rPr>
                <w:rFonts w:ascii="Arial" w:hAnsi="Arial" w:cs="Arial"/>
                <w:color w:val="000000"/>
                <w:sz w:val="24"/>
                <w:szCs w:val="24"/>
                <w:lang w:eastAsia="en-GB"/>
              </w:rPr>
            </w:pPr>
            <w:r w:rsidRPr="005F53CF">
              <w:rPr>
                <w:rFonts w:ascii="Arial" w:hAnsi="Arial" w:cs="Arial"/>
                <w:color w:val="000000"/>
                <w:sz w:val="24"/>
                <w:szCs w:val="24"/>
                <w:lang w:eastAsia="en-GB"/>
              </w:rPr>
              <w:t>Contracted</w:t>
            </w:r>
          </w:p>
        </w:tc>
        <w:tc>
          <w:tcPr>
            <w:tcW w:w="1418" w:type="dxa"/>
            <w:tcBorders>
              <w:top w:val="nil"/>
              <w:left w:val="nil"/>
              <w:bottom w:val="single" w:sz="4" w:space="0" w:color="auto"/>
              <w:right w:val="single" w:sz="4" w:space="0" w:color="auto"/>
            </w:tcBorders>
            <w:noWrap/>
            <w:hideMark/>
          </w:tcPr>
          <w:p w14:paraId="3B415104" w14:textId="77777777" w:rsidR="0036567A" w:rsidRPr="005F53CF" w:rsidRDefault="0036567A">
            <w:pPr>
              <w:spacing w:after="0"/>
              <w:jc w:val="right"/>
              <w:rPr>
                <w:rFonts w:ascii="Arial" w:hAnsi="Arial" w:cs="Arial"/>
                <w:color w:val="000000"/>
                <w:sz w:val="24"/>
                <w:szCs w:val="24"/>
                <w:lang w:eastAsia="en-GB"/>
              </w:rPr>
            </w:pPr>
            <w:r w:rsidRPr="005F53CF">
              <w:rPr>
                <w:rFonts w:ascii="Arial" w:hAnsi="Arial" w:cs="Arial"/>
                <w:sz w:val="24"/>
                <w:szCs w:val="24"/>
              </w:rPr>
              <w:t>£2.4</w:t>
            </w:r>
          </w:p>
        </w:tc>
        <w:tc>
          <w:tcPr>
            <w:tcW w:w="834" w:type="dxa"/>
            <w:tcBorders>
              <w:top w:val="nil"/>
              <w:left w:val="nil"/>
              <w:bottom w:val="single" w:sz="4" w:space="0" w:color="auto"/>
              <w:right w:val="single" w:sz="4" w:space="0" w:color="auto"/>
            </w:tcBorders>
            <w:noWrap/>
            <w:hideMark/>
          </w:tcPr>
          <w:p w14:paraId="53CDE623" w14:textId="77777777" w:rsidR="0036567A" w:rsidRPr="005F53CF" w:rsidRDefault="0036567A">
            <w:pPr>
              <w:spacing w:after="0"/>
              <w:jc w:val="right"/>
              <w:rPr>
                <w:rFonts w:ascii="Arial" w:hAnsi="Arial" w:cs="Arial"/>
                <w:color w:val="000000"/>
                <w:sz w:val="24"/>
                <w:szCs w:val="24"/>
                <w:lang w:eastAsia="en-GB"/>
              </w:rPr>
            </w:pPr>
            <w:r w:rsidRPr="005F53CF">
              <w:rPr>
                <w:rFonts w:ascii="Arial" w:hAnsi="Arial" w:cs="Arial"/>
                <w:sz w:val="24"/>
                <w:szCs w:val="24"/>
              </w:rPr>
              <w:t>£0.5</w:t>
            </w:r>
          </w:p>
        </w:tc>
        <w:tc>
          <w:tcPr>
            <w:tcW w:w="1292" w:type="dxa"/>
            <w:tcBorders>
              <w:top w:val="nil"/>
              <w:left w:val="nil"/>
              <w:bottom w:val="single" w:sz="4" w:space="0" w:color="auto"/>
              <w:right w:val="single" w:sz="4" w:space="0" w:color="auto"/>
            </w:tcBorders>
            <w:noWrap/>
            <w:hideMark/>
          </w:tcPr>
          <w:p w14:paraId="1D02A4D5" w14:textId="47C95F64" w:rsidR="0036567A" w:rsidRPr="005F53CF" w:rsidRDefault="0036567A" w:rsidP="00825ED4">
            <w:pPr>
              <w:spacing w:after="0"/>
              <w:jc w:val="right"/>
              <w:rPr>
                <w:rFonts w:ascii="Arial" w:hAnsi="Arial" w:cs="Arial"/>
                <w:color w:val="000000"/>
                <w:sz w:val="24"/>
                <w:szCs w:val="24"/>
                <w:lang w:eastAsia="en-GB"/>
              </w:rPr>
            </w:pPr>
            <w:r w:rsidRPr="005F53CF">
              <w:rPr>
                <w:rFonts w:ascii="Arial" w:hAnsi="Arial" w:cs="Arial"/>
                <w:sz w:val="24"/>
                <w:szCs w:val="24"/>
              </w:rPr>
              <w:t>£</w:t>
            </w:r>
            <w:r>
              <w:rPr>
                <w:rFonts w:ascii="Arial" w:hAnsi="Arial" w:cs="Arial"/>
                <w:sz w:val="24"/>
                <w:szCs w:val="24"/>
              </w:rPr>
              <w:t>10.6</w:t>
            </w:r>
          </w:p>
        </w:tc>
        <w:tc>
          <w:tcPr>
            <w:tcW w:w="1134" w:type="dxa"/>
            <w:tcBorders>
              <w:top w:val="nil"/>
              <w:left w:val="nil"/>
              <w:bottom w:val="single" w:sz="4" w:space="0" w:color="auto"/>
              <w:right w:val="single" w:sz="4" w:space="0" w:color="auto"/>
            </w:tcBorders>
            <w:noWrap/>
            <w:hideMark/>
          </w:tcPr>
          <w:p w14:paraId="097A4A3C" w14:textId="135D5BF1" w:rsidR="0036567A" w:rsidRPr="005F53CF" w:rsidRDefault="0036567A">
            <w:pPr>
              <w:spacing w:after="0"/>
              <w:jc w:val="right"/>
              <w:rPr>
                <w:rFonts w:ascii="Arial" w:hAnsi="Arial" w:cs="Arial"/>
                <w:color w:val="000000"/>
                <w:sz w:val="24"/>
                <w:szCs w:val="24"/>
                <w:lang w:eastAsia="en-GB"/>
              </w:rPr>
            </w:pPr>
            <w:r w:rsidRPr="005F53CF">
              <w:rPr>
                <w:rFonts w:ascii="Arial" w:hAnsi="Arial" w:cs="Arial"/>
                <w:sz w:val="24"/>
                <w:szCs w:val="24"/>
              </w:rPr>
              <w:t>£5.</w:t>
            </w:r>
            <w:r>
              <w:rPr>
                <w:rFonts w:ascii="Arial" w:hAnsi="Arial" w:cs="Arial"/>
                <w:sz w:val="24"/>
                <w:szCs w:val="24"/>
              </w:rPr>
              <w:t>5</w:t>
            </w:r>
          </w:p>
        </w:tc>
        <w:tc>
          <w:tcPr>
            <w:tcW w:w="1417" w:type="dxa"/>
            <w:tcBorders>
              <w:top w:val="nil"/>
              <w:left w:val="nil"/>
              <w:bottom w:val="single" w:sz="4" w:space="0" w:color="auto"/>
              <w:right w:val="single" w:sz="4" w:space="0" w:color="auto"/>
            </w:tcBorders>
            <w:noWrap/>
            <w:hideMark/>
          </w:tcPr>
          <w:p w14:paraId="337EA4E2" w14:textId="77777777" w:rsidR="0036567A" w:rsidRPr="005F53CF" w:rsidRDefault="0036567A">
            <w:pPr>
              <w:spacing w:after="0"/>
              <w:jc w:val="right"/>
              <w:rPr>
                <w:rFonts w:ascii="Arial" w:hAnsi="Arial" w:cs="Arial"/>
                <w:color w:val="000000"/>
                <w:sz w:val="24"/>
                <w:szCs w:val="24"/>
                <w:lang w:eastAsia="en-GB"/>
              </w:rPr>
            </w:pPr>
            <w:r w:rsidRPr="005F53CF">
              <w:rPr>
                <w:rFonts w:ascii="Arial" w:hAnsi="Arial" w:cs="Arial"/>
                <w:sz w:val="24"/>
                <w:szCs w:val="24"/>
              </w:rPr>
              <w:t>£0.0</w:t>
            </w:r>
          </w:p>
        </w:tc>
        <w:tc>
          <w:tcPr>
            <w:tcW w:w="1276" w:type="dxa"/>
            <w:tcBorders>
              <w:top w:val="nil"/>
              <w:left w:val="nil"/>
              <w:bottom w:val="single" w:sz="4" w:space="0" w:color="auto"/>
              <w:right w:val="single" w:sz="4" w:space="0" w:color="auto"/>
            </w:tcBorders>
            <w:noWrap/>
            <w:hideMark/>
          </w:tcPr>
          <w:p w14:paraId="1C8837B6" w14:textId="77777777" w:rsidR="0036567A" w:rsidRPr="005F53CF" w:rsidRDefault="0036567A">
            <w:pPr>
              <w:spacing w:after="0"/>
              <w:jc w:val="right"/>
              <w:rPr>
                <w:rFonts w:ascii="Arial" w:hAnsi="Arial" w:cs="Arial"/>
                <w:color w:val="000000"/>
                <w:sz w:val="24"/>
                <w:szCs w:val="24"/>
                <w:lang w:eastAsia="en-GB"/>
              </w:rPr>
            </w:pPr>
            <w:r w:rsidRPr="005F53CF">
              <w:rPr>
                <w:rFonts w:ascii="Arial" w:hAnsi="Arial" w:cs="Arial"/>
                <w:sz w:val="24"/>
                <w:szCs w:val="24"/>
              </w:rPr>
              <w:t>£0.0</w:t>
            </w:r>
          </w:p>
        </w:tc>
        <w:tc>
          <w:tcPr>
            <w:tcW w:w="992" w:type="dxa"/>
            <w:tcBorders>
              <w:top w:val="nil"/>
              <w:left w:val="nil"/>
              <w:bottom w:val="single" w:sz="4" w:space="0" w:color="auto"/>
              <w:right w:val="single" w:sz="4" w:space="0" w:color="auto"/>
            </w:tcBorders>
            <w:noWrap/>
            <w:hideMark/>
          </w:tcPr>
          <w:p w14:paraId="30CE1124" w14:textId="7F9CF381" w:rsidR="0036567A" w:rsidRPr="005F53CF" w:rsidRDefault="0036567A" w:rsidP="00A0356C">
            <w:pPr>
              <w:spacing w:after="0"/>
              <w:jc w:val="right"/>
              <w:rPr>
                <w:rFonts w:ascii="Arial" w:hAnsi="Arial" w:cs="Arial"/>
                <w:color w:val="000000"/>
                <w:sz w:val="24"/>
                <w:szCs w:val="24"/>
                <w:lang w:eastAsia="en-GB"/>
              </w:rPr>
            </w:pPr>
            <w:r w:rsidRPr="005F53CF">
              <w:rPr>
                <w:rFonts w:ascii="Arial" w:hAnsi="Arial" w:cs="Arial"/>
                <w:sz w:val="24"/>
                <w:szCs w:val="24"/>
              </w:rPr>
              <w:t>£</w:t>
            </w:r>
            <w:r>
              <w:rPr>
                <w:rFonts w:ascii="Arial" w:hAnsi="Arial" w:cs="Arial"/>
                <w:sz w:val="24"/>
                <w:szCs w:val="24"/>
              </w:rPr>
              <w:t>24.47</w:t>
            </w:r>
          </w:p>
        </w:tc>
      </w:tr>
      <w:tr w:rsidR="0036567A" w:rsidRPr="005F53CF" w14:paraId="3013B65E" w14:textId="77777777" w:rsidTr="0036567A">
        <w:trPr>
          <w:trHeight w:val="209"/>
        </w:trPr>
        <w:tc>
          <w:tcPr>
            <w:tcW w:w="1702" w:type="dxa"/>
            <w:tcBorders>
              <w:top w:val="nil"/>
              <w:left w:val="single" w:sz="4" w:space="0" w:color="auto"/>
              <w:bottom w:val="single" w:sz="4" w:space="0" w:color="auto"/>
              <w:right w:val="single" w:sz="4" w:space="0" w:color="auto"/>
            </w:tcBorders>
            <w:hideMark/>
          </w:tcPr>
          <w:p w14:paraId="4951688F" w14:textId="436358FB" w:rsidR="0036567A" w:rsidRPr="005F53CF" w:rsidRDefault="0036567A">
            <w:pPr>
              <w:spacing w:after="0"/>
              <w:rPr>
                <w:rFonts w:ascii="Arial" w:hAnsi="Arial" w:cs="Arial"/>
                <w:color w:val="000000"/>
                <w:sz w:val="24"/>
                <w:szCs w:val="24"/>
                <w:lang w:eastAsia="en-GB"/>
              </w:rPr>
            </w:pPr>
            <w:r w:rsidRPr="005F53CF">
              <w:rPr>
                <w:rFonts w:ascii="Arial" w:hAnsi="Arial" w:cs="Arial"/>
                <w:color w:val="000000"/>
                <w:sz w:val="24"/>
                <w:szCs w:val="24"/>
                <w:lang w:eastAsia="en-GB"/>
              </w:rPr>
              <w:t>Contracted F</w:t>
            </w:r>
            <w:r>
              <w:rPr>
                <w:rFonts w:ascii="Arial" w:hAnsi="Arial" w:cs="Arial"/>
                <w:color w:val="000000"/>
                <w:sz w:val="24"/>
                <w:szCs w:val="24"/>
                <w:lang w:eastAsia="en-GB"/>
              </w:rPr>
              <w:t xml:space="preserve">inancial </w:t>
            </w:r>
            <w:r w:rsidRPr="005F53CF">
              <w:rPr>
                <w:rFonts w:ascii="Arial" w:hAnsi="Arial" w:cs="Arial"/>
                <w:color w:val="000000"/>
                <w:sz w:val="24"/>
                <w:szCs w:val="24"/>
                <w:lang w:eastAsia="en-GB"/>
              </w:rPr>
              <w:t>I</w:t>
            </w:r>
            <w:r>
              <w:rPr>
                <w:rFonts w:ascii="Arial" w:hAnsi="Arial" w:cs="Arial"/>
                <w:color w:val="000000"/>
                <w:sz w:val="24"/>
                <w:szCs w:val="24"/>
                <w:lang w:eastAsia="en-GB"/>
              </w:rPr>
              <w:t>nstrument</w:t>
            </w:r>
            <w:r w:rsidRPr="005F53CF">
              <w:rPr>
                <w:rFonts w:ascii="Arial" w:hAnsi="Arial" w:cs="Arial"/>
                <w:color w:val="000000"/>
                <w:sz w:val="24"/>
                <w:szCs w:val="24"/>
                <w:lang w:eastAsia="en-GB"/>
              </w:rPr>
              <w:t>s</w:t>
            </w:r>
          </w:p>
        </w:tc>
        <w:tc>
          <w:tcPr>
            <w:tcW w:w="1418" w:type="dxa"/>
            <w:tcBorders>
              <w:top w:val="nil"/>
              <w:left w:val="nil"/>
              <w:bottom w:val="single" w:sz="4" w:space="0" w:color="auto"/>
              <w:right w:val="single" w:sz="4" w:space="0" w:color="auto"/>
            </w:tcBorders>
            <w:noWrap/>
            <w:hideMark/>
          </w:tcPr>
          <w:p w14:paraId="53251FF9" w14:textId="77777777" w:rsidR="0036567A" w:rsidRPr="005F53CF" w:rsidRDefault="0036567A">
            <w:pPr>
              <w:spacing w:after="0"/>
              <w:jc w:val="right"/>
              <w:rPr>
                <w:rFonts w:ascii="Arial" w:hAnsi="Arial" w:cs="Arial"/>
                <w:color w:val="000000"/>
                <w:sz w:val="24"/>
                <w:szCs w:val="24"/>
                <w:lang w:eastAsia="en-GB"/>
              </w:rPr>
            </w:pPr>
            <w:r w:rsidRPr="005F53CF">
              <w:rPr>
                <w:rFonts w:ascii="Arial" w:hAnsi="Arial" w:cs="Arial"/>
                <w:sz w:val="24"/>
                <w:szCs w:val="24"/>
              </w:rPr>
              <w:t>£0.0</w:t>
            </w:r>
          </w:p>
        </w:tc>
        <w:tc>
          <w:tcPr>
            <w:tcW w:w="834" w:type="dxa"/>
            <w:tcBorders>
              <w:top w:val="nil"/>
              <w:left w:val="nil"/>
              <w:bottom w:val="single" w:sz="4" w:space="0" w:color="auto"/>
              <w:right w:val="single" w:sz="4" w:space="0" w:color="auto"/>
            </w:tcBorders>
            <w:noWrap/>
            <w:hideMark/>
          </w:tcPr>
          <w:p w14:paraId="52486E1F" w14:textId="77777777" w:rsidR="0036567A" w:rsidRPr="005F53CF" w:rsidRDefault="0036567A">
            <w:pPr>
              <w:spacing w:after="0"/>
              <w:jc w:val="right"/>
              <w:rPr>
                <w:rFonts w:ascii="Arial" w:hAnsi="Arial" w:cs="Arial"/>
                <w:color w:val="000000"/>
                <w:sz w:val="24"/>
                <w:szCs w:val="24"/>
                <w:lang w:eastAsia="en-GB"/>
              </w:rPr>
            </w:pPr>
            <w:r w:rsidRPr="005F53CF">
              <w:rPr>
                <w:rFonts w:ascii="Arial" w:hAnsi="Arial" w:cs="Arial"/>
                <w:sz w:val="24"/>
                <w:szCs w:val="24"/>
              </w:rPr>
              <w:t>£0.0</w:t>
            </w:r>
          </w:p>
        </w:tc>
        <w:tc>
          <w:tcPr>
            <w:tcW w:w="1292" w:type="dxa"/>
            <w:tcBorders>
              <w:top w:val="nil"/>
              <w:left w:val="nil"/>
              <w:bottom w:val="single" w:sz="4" w:space="0" w:color="auto"/>
              <w:right w:val="single" w:sz="4" w:space="0" w:color="auto"/>
            </w:tcBorders>
            <w:noWrap/>
            <w:hideMark/>
          </w:tcPr>
          <w:p w14:paraId="3FB56CDC" w14:textId="77777777" w:rsidR="0036567A" w:rsidRPr="005F53CF" w:rsidRDefault="0036567A">
            <w:pPr>
              <w:spacing w:after="0"/>
              <w:jc w:val="right"/>
              <w:rPr>
                <w:rFonts w:ascii="Arial" w:hAnsi="Arial" w:cs="Arial"/>
                <w:color w:val="000000"/>
                <w:sz w:val="24"/>
                <w:szCs w:val="24"/>
                <w:lang w:eastAsia="en-GB"/>
              </w:rPr>
            </w:pPr>
            <w:r w:rsidRPr="005F53CF">
              <w:rPr>
                <w:rFonts w:ascii="Arial" w:hAnsi="Arial" w:cs="Arial"/>
                <w:sz w:val="24"/>
                <w:szCs w:val="24"/>
              </w:rPr>
              <w:t>£2.0</w:t>
            </w:r>
          </w:p>
        </w:tc>
        <w:tc>
          <w:tcPr>
            <w:tcW w:w="1134" w:type="dxa"/>
            <w:tcBorders>
              <w:top w:val="nil"/>
              <w:left w:val="nil"/>
              <w:bottom w:val="single" w:sz="4" w:space="0" w:color="auto"/>
              <w:right w:val="single" w:sz="4" w:space="0" w:color="auto"/>
            </w:tcBorders>
            <w:noWrap/>
            <w:hideMark/>
          </w:tcPr>
          <w:p w14:paraId="2E1E0658" w14:textId="77777777" w:rsidR="0036567A" w:rsidRPr="005F53CF" w:rsidRDefault="0036567A">
            <w:pPr>
              <w:spacing w:after="0"/>
              <w:jc w:val="right"/>
              <w:rPr>
                <w:rFonts w:ascii="Arial" w:hAnsi="Arial" w:cs="Arial"/>
                <w:color w:val="000000"/>
                <w:sz w:val="24"/>
                <w:szCs w:val="24"/>
                <w:lang w:eastAsia="en-GB"/>
              </w:rPr>
            </w:pPr>
            <w:r w:rsidRPr="005F53CF">
              <w:rPr>
                <w:rFonts w:ascii="Arial" w:hAnsi="Arial" w:cs="Arial"/>
                <w:sz w:val="24"/>
                <w:szCs w:val="24"/>
              </w:rPr>
              <w:t>£0.0</w:t>
            </w:r>
          </w:p>
        </w:tc>
        <w:tc>
          <w:tcPr>
            <w:tcW w:w="1417" w:type="dxa"/>
            <w:tcBorders>
              <w:top w:val="nil"/>
              <w:left w:val="nil"/>
              <w:bottom w:val="single" w:sz="4" w:space="0" w:color="auto"/>
              <w:right w:val="single" w:sz="4" w:space="0" w:color="auto"/>
            </w:tcBorders>
            <w:noWrap/>
            <w:hideMark/>
          </w:tcPr>
          <w:p w14:paraId="50E63050" w14:textId="77777777" w:rsidR="0036567A" w:rsidRPr="005F53CF" w:rsidRDefault="0036567A">
            <w:pPr>
              <w:spacing w:after="0"/>
              <w:jc w:val="right"/>
              <w:rPr>
                <w:rFonts w:ascii="Arial" w:hAnsi="Arial" w:cs="Arial"/>
                <w:color w:val="000000"/>
                <w:sz w:val="24"/>
                <w:szCs w:val="24"/>
                <w:lang w:eastAsia="en-GB"/>
              </w:rPr>
            </w:pPr>
            <w:r w:rsidRPr="005F53CF">
              <w:rPr>
                <w:rFonts w:ascii="Arial" w:hAnsi="Arial" w:cs="Arial"/>
                <w:sz w:val="24"/>
                <w:szCs w:val="24"/>
              </w:rPr>
              <w:t>£0.0</w:t>
            </w:r>
          </w:p>
        </w:tc>
        <w:tc>
          <w:tcPr>
            <w:tcW w:w="1276" w:type="dxa"/>
            <w:tcBorders>
              <w:top w:val="nil"/>
              <w:left w:val="nil"/>
              <w:bottom w:val="single" w:sz="4" w:space="0" w:color="auto"/>
              <w:right w:val="single" w:sz="4" w:space="0" w:color="auto"/>
            </w:tcBorders>
            <w:noWrap/>
            <w:hideMark/>
          </w:tcPr>
          <w:p w14:paraId="29D85ECE" w14:textId="77777777" w:rsidR="0036567A" w:rsidRPr="005F53CF" w:rsidRDefault="0036567A">
            <w:pPr>
              <w:spacing w:after="0"/>
              <w:jc w:val="right"/>
              <w:rPr>
                <w:rFonts w:ascii="Arial" w:hAnsi="Arial" w:cs="Arial"/>
                <w:color w:val="000000"/>
                <w:sz w:val="24"/>
                <w:szCs w:val="24"/>
                <w:lang w:eastAsia="en-GB"/>
              </w:rPr>
            </w:pPr>
            <w:r w:rsidRPr="005F53CF">
              <w:rPr>
                <w:rFonts w:ascii="Arial" w:hAnsi="Arial" w:cs="Arial"/>
                <w:sz w:val="24"/>
                <w:szCs w:val="24"/>
              </w:rPr>
              <w:t>£0.0</w:t>
            </w:r>
          </w:p>
        </w:tc>
        <w:tc>
          <w:tcPr>
            <w:tcW w:w="992" w:type="dxa"/>
            <w:tcBorders>
              <w:top w:val="nil"/>
              <w:left w:val="nil"/>
              <w:bottom w:val="single" w:sz="4" w:space="0" w:color="auto"/>
              <w:right w:val="single" w:sz="4" w:space="0" w:color="auto"/>
            </w:tcBorders>
            <w:noWrap/>
            <w:hideMark/>
          </w:tcPr>
          <w:p w14:paraId="6CB9D455" w14:textId="77777777" w:rsidR="0036567A" w:rsidRPr="005F53CF" w:rsidRDefault="0036567A">
            <w:pPr>
              <w:spacing w:after="0"/>
              <w:jc w:val="right"/>
              <w:rPr>
                <w:rFonts w:ascii="Arial" w:hAnsi="Arial" w:cs="Arial"/>
                <w:color w:val="000000"/>
                <w:sz w:val="24"/>
                <w:szCs w:val="24"/>
                <w:lang w:eastAsia="en-GB"/>
              </w:rPr>
            </w:pPr>
            <w:r w:rsidRPr="005F53CF">
              <w:rPr>
                <w:rFonts w:ascii="Arial" w:hAnsi="Arial" w:cs="Arial"/>
                <w:sz w:val="24"/>
                <w:szCs w:val="24"/>
              </w:rPr>
              <w:t>£2.0</w:t>
            </w:r>
          </w:p>
        </w:tc>
      </w:tr>
      <w:tr w:rsidR="0036567A" w:rsidRPr="005F53CF" w14:paraId="26B30AFF" w14:textId="77777777" w:rsidTr="0036567A">
        <w:trPr>
          <w:trHeight w:val="270"/>
        </w:trPr>
        <w:tc>
          <w:tcPr>
            <w:tcW w:w="1702" w:type="dxa"/>
            <w:tcBorders>
              <w:top w:val="nil"/>
              <w:left w:val="single" w:sz="4" w:space="0" w:color="auto"/>
              <w:bottom w:val="single" w:sz="4" w:space="0" w:color="auto"/>
              <w:right w:val="single" w:sz="4" w:space="0" w:color="auto"/>
            </w:tcBorders>
            <w:hideMark/>
          </w:tcPr>
          <w:p w14:paraId="7F4806CA" w14:textId="5B6D6CFC" w:rsidR="0036567A" w:rsidRPr="005F53CF" w:rsidRDefault="0036567A">
            <w:pPr>
              <w:spacing w:after="0"/>
              <w:rPr>
                <w:rFonts w:ascii="Arial" w:hAnsi="Arial" w:cs="Arial"/>
                <w:color w:val="000000"/>
                <w:sz w:val="24"/>
                <w:szCs w:val="24"/>
                <w:lang w:eastAsia="en-GB"/>
              </w:rPr>
            </w:pPr>
            <w:r w:rsidRPr="005F53CF">
              <w:rPr>
                <w:rFonts w:ascii="Arial" w:hAnsi="Arial" w:cs="Arial"/>
                <w:color w:val="000000"/>
                <w:sz w:val="24"/>
                <w:szCs w:val="24"/>
                <w:lang w:eastAsia="en-GB"/>
              </w:rPr>
              <w:t>Total value</w:t>
            </w:r>
            <w:r>
              <w:rPr>
                <w:rFonts w:ascii="Arial" w:hAnsi="Arial" w:cs="Arial"/>
                <w:color w:val="000000"/>
                <w:sz w:val="24"/>
                <w:szCs w:val="24"/>
                <w:lang w:eastAsia="en-GB"/>
              </w:rPr>
              <w:t xml:space="preserve"> of projects at all stages</w:t>
            </w:r>
          </w:p>
        </w:tc>
        <w:tc>
          <w:tcPr>
            <w:tcW w:w="1418" w:type="dxa"/>
            <w:tcBorders>
              <w:top w:val="nil"/>
              <w:left w:val="nil"/>
              <w:bottom w:val="single" w:sz="4" w:space="0" w:color="auto"/>
              <w:right w:val="single" w:sz="4" w:space="0" w:color="auto"/>
            </w:tcBorders>
            <w:noWrap/>
            <w:hideMark/>
          </w:tcPr>
          <w:p w14:paraId="09398100" w14:textId="77777777" w:rsidR="0036567A" w:rsidRPr="005F53CF" w:rsidRDefault="0036567A">
            <w:pPr>
              <w:spacing w:after="0"/>
              <w:jc w:val="right"/>
              <w:rPr>
                <w:rFonts w:ascii="Arial" w:hAnsi="Arial" w:cs="Arial"/>
                <w:b/>
                <w:color w:val="000000"/>
                <w:sz w:val="24"/>
                <w:szCs w:val="24"/>
                <w:lang w:eastAsia="en-GB"/>
              </w:rPr>
            </w:pPr>
            <w:r w:rsidRPr="005F53CF">
              <w:rPr>
                <w:rFonts w:ascii="Arial" w:hAnsi="Arial" w:cs="Arial"/>
                <w:b/>
                <w:sz w:val="24"/>
                <w:szCs w:val="24"/>
              </w:rPr>
              <w:t>£2.4</w:t>
            </w:r>
          </w:p>
        </w:tc>
        <w:tc>
          <w:tcPr>
            <w:tcW w:w="834" w:type="dxa"/>
            <w:tcBorders>
              <w:top w:val="nil"/>
              <w:left w:val="nil"/>
              <w:bottom w:val="single" w:sz="4" w:space="0" w:color="auto"/>
              <w:right w:val="single" w:sz="4" w:space="0" w:color="auto"/>
            </w:tcBorders>
            <w:noWrap/>
            <w:hideMark/>
          </w:tcPr>
          <w:p w14:paraId="7E169C29" w14:textId="77777777" w:rsidR="0036567A" w:rsidRPr="005F53CF" w:rsidRDefault="0036567A">
            <w:pPr>
              <w:spacing w:after="0"/>
              <w:jc w:val="right"/>
              <w:rPr>
                <w:rFonts w:ascii="Arial" w:hAnsi="Arial" w:cs="Arial"/>
                <w:b/>
                <w:color w:val="000000"/>
                <w:sz w:val="24"/>
                <w:szCs w:val="24"/>
                <w:lang w:eastAsia="en-GB"/>
              </w:rPr>
            </w:pPr>
            <w:r w:rsidRPr="005F53CF">
              <w:rPr>
                <w:rFonts w:ascii="Arial" w:hAnsi="Arial" w:cs="Arial"/>
                <w:b/>
                <w:sz w:val="24"/>
                <w:szCs w:val="24"/>
              </w:rPr>
              <w:t>£0.5</w:t>
            </w:r>
          </w:p>
        </w:tc>
        <w:tc>
          <w:tcPr>
            <w:tcW w:w="1292" w:type="dxa"/>
            <w:tcBorders>
              <w:top w:val="nil"/>
              <w:left w:val="nil"/>
              <w:bottom w:val="single" w:sz="4" w:space="0" w:color="auto"/>
              <w:right w:val="single" w:sz="4" w:space="0" w:color="auto"/>
            </w:tcBorders>
            <w:noWrap/>
            <w:hideMark/>
          </w:tcPr>
          <w:p w14:paraId="4471D5D1" w14:textId="43369C97" w:rsidR="0036567A" w:rsidRPr="005F53CF" w:rsidRDefault="0036567A" w:rsidP="002056BB">
            <w:pPr>
              <w:spacing w:after="0"/>
              <w:jc w:val="right"/>
              <w:rPr>
                <w:rFonts w:ascii="Arial" w:hAnsi="Arial" w:cs="Arial"/>
                <w:b/>
                <w:color w:val="000000"/>
                <w:sz w:val="24"/>
                <w:szCs w:val="24"/>
                <w:lang w:eastAsia="en-GB"/>
              </w:rPr>
            </w:pPr>
            <w:r w:rsidRPr="005F53CF">
              <w:rPr>
                <w:rFonts w:ascii="Arial" w:hAnsi="Arial" w:cs="Arial"/>
                <w:b/>
                <w:sz w:val="24"/>
                <w:szCs w:val="24"/>
              </w:rPr>
              <w:t>£</w:t>
            </w:r>
            <w:r>
              <w:rPr>
                <w:rFonts w:ascii="Arial" w:hAnsi="Arial" w:cs="Arial"/>
                <w:b/>
                <w:sz w:val="24"/>
                <w:szCs w:val="24"/>
              </w:rPr>
              <w:t>13.</w:t>
            </w:r>
          </w:p>
        </w:tc>
        <w:tc>
          <w:tcPr>
            <w:tcW w:w="1134" w:type="dxa"/>
            <w:tcBorders>
              <w:top w:val="nil"/>
              <w:left w:val="nil"/>
              <w:bottom w:val="single" w:sz="4" w:space="0" w:color="auto"/>
              <w:right w:val="single" w:sz="4" w:space="0" w:color="auto"/>
            </w:tcBorders>
            <w:noWrap/>
            <w:hideMark/>
          </w:tcPr>
          <w:p w14:paraId="5E2495C1" w14:textId="21222918" w:rsidR="0036567A" w:rsidRPr="005F53CF" w:rsidRDefault="0036567A" w:rsidP="00015B7E">
            <w:pPr>
              <w:spacing w:after="0"/>
              <w:jc w:val="right"/>
              <w:rPr>
                <w:rFonts w:ascii="Arial" w:hAnsi="Arial" w:cs="Arial"/>
                <w:b/>
                <w:color w:val="000000"/>
                <w:sz w:val="24"/>
                <w:szCs w:val="24"/>
                <w:lang w:eastAsia="en-GB"/>
              </w:rPr>
            </w:pPr>
            <w:r w:rsidRPr="005F53CF">
              <w:rPr>
                <w:rFonts w:ascii="Arial" w:hAnsi="Arial" w:cs="Arial"/>
                <w:b/>
                <w:sz w:val="24"/>
                <w:szCs w:val="24"/>
              </w:rPr>
              <w:t>£1</w:t>
            </w:r>
            <w:r>
              <w:rPr>
                <w:rFonts w:ascii="Arial" w:hAnsi="Arial" w:cs="Arial"/>
                <w:b/>
                <w:sz w:val="24"/>
                <w:szCs w:val="24"/>
              </w:rPr>
              <w:t>0.95</w:t>
            </w:r>
          </w:p>
        </w:tc>
        <w:tc>
          <w:tcPr>
            <w:tcW w:w="1417" w:type="dxa"/>
            <w:tcBorders>
              <w:top w:val="nil"/>
              <w:left w:val="nil"/>
              <w:bottom w:val="single" w:sz="4" w:space="0" w:color="auto"/>
              <w:right w:val="single" w:sz="4" w:space="0" w:color="auto"/>
            </w:tcBorders>
            <w:noWrap/>
            <w:hideMark/>
          </w:tcPr>
          <w:p w14:paraId="3C91FD5B" w14:textId="77777777" w:rsidR="0036567A" w:rsidRPr="005F53CF" w:rsidRDefault="0036567A">
            <w:pPr>
              <w:spacing w:after="0"/>
              <w:jc w:val="right"/>
              <w:rPr>
                <w:rFonts w:ascii="Arial" w:hAnsi="Arial" w:cs="Arial"/>
                <w:b/>
                <w:color w:val="000000"/>
                <w:sz w:val="24"/>
                <w:szCs w:val="24"/>
                <w:lang w:eastAsia="en-GB"/>
              </w:rPr>
            </w:pPr>
            <w:r w:rsidRPr="005F53CF">
              <w:rPr>
                <w:rFonts w:ascii="Arial" w:hAnsi="Arial" w:cs="Arial"/>
                <w:b/>
                <w:sz w:val="24"/>
                <w:szCs w:val="24"/>
              </w:rPr>
              <w:t>£5.3</w:t>
            </w:r>
          </w:p>
        </w:tc>
        <w:tc>
          <w:tcPr>
            <w:tcW w:w="1276" w:type="dxa"/>
            <w:tcBorders>
              <w:top w:val="nil"/>
              <w:left w:val="nil"/>
              <w:bottom w:val="single" w:sz="4" w:space="0" w:color="auto"/>
              <w:right w:val="single" w:sz="4" w:space="0" w:color="auto"/>
            </w:tcBorders>
            <w:noWrap/>
            <w:hideMark/>
          </w:tcPr>
          <w:p w14:paraId="47B169A5" w14:textId="368F4833" w:rsidR="0036567A" w:rsidRPr="005F53CF" w:rsidRDefault="0036567A" w:rsidP="008343B0">
            <w:pPr>
              <w:spacing w:after="0"/>
              <w:jc w:val="right"/>
              <w:rPr>
                <w:rFonts w:ascii="Arial" w:hAnsi="Arial" w:cs="Arial"/>
                <w:b/>
                <w:color w:val="000000"/>
                <w:sz w:val="24"/>
                <w:szCs w:val="24"/>
                <w:lang w:eastAsia="en-GB"/>
              </w:rPr>
            </w:pPr>
            <w:r w:rsidRPr="005F53CF">
              <w:rPr>
                <w:rFonts w:ascii="Arial" w:hAnsi="Arial" w:cs="Arial"/>
                <w:b/>
                <w:sz w:val="24"/>
                <w:szCs w:val="24"/>
              </w:rPr>
              <w:t>£</w:t>
            </w:r>
            <w:r>
              <w:rPr>
                <w:rFonts w:ascii="Arial" w:hAnsi="Arial" w:cs="Arial"/>
                <w:b/>
                <w:sz w:val="24"/>
                <w:szCs w:val="24"/>
              </w:rPr>
              <w:t>1.37</w:t>
            </w:r>
          </w:p>
        </w:tc>
        <w:tc>
          <w:tcPr>
            <w:tcW w:w="992" w:type="dxa"/>
            <w:tcBorders>
              <w:top w:val="nil"/>
              <w:left w:val="nil"/>
              <w:bottom w:val="single" w:sz="4" w:space="0" w:color="auto"/>
              <w:right w:val="single" w:sz="4" w:space="0" w:color="auto"/>
            </w:tcBorders>
            <w:noWrap/>
            <w:hideMark/>
          </w:tcPr>
          <w:p w14:paraId="7C2EB3C2" w14:textId="31D19522" w:rsidR="0036567A" w:rsidRPr="005F53CF" w:rsidRDefault="0036567A" w:rsidP="00A0356C">
            <w:pPr>
              <w:spacing w:after="0"/>
              <w:jc w:val="right"/>
              <w:rPr>
                <w:rFonts w:ascii="Arial" w:hAnsi="Arial" w:cs="Arial"/>
                <w:b/>
                <w:color w:val="000000"/>
                <w:sz w:val="24"/>
                <w:szCs w:val="24"/>
                <w:lang w:eastAsia="en-GB"/>
              </w:rPr>
            </w:pPr>
            <w:r w:rsidRPr="005F53CF">
              <w:rPr>
                <w:rFonts w:ascii="Arial" w:hAnsi="Arial" w:cs="Arial"/>
                <w:b/>
                <w:sz w:val="24"/>
                <w:szCs w:val="24"/>
              </w:rPr>
              <w:t>£</w:t>
            </w:r>
            <w:r>
              <w:rPr>
                <w:rFonts w:ascii="Arial" w:hAnsi="Arial" w:cs="Arial"/>
                <w:b/>
                <w:sz w:val="24"/>
                <w:szCs w:val="24"/>
              </w:rPr>
              <w:t>34.34</w:t>
            </w:r>
          </w:p>
        </w:tc>
      </w:tr>
      <w:tr w:rsidR="0036567A" w:rsidRPr="005F53CF" w14:paraId="066C5B0A" w14:textId="77777777" w:rsidTr="0036567A">
        <w:trPr>
          <w:trHeight w:val="447"/>
        </w:trPr>
        <w:tc>
          <w:tcPr>
            <w:tcW w:w="1702" w:type="dxa"/>
            <w:tcBorders>
              <w:top w:val="nil"/>
              <w:left w:val="single" w:sz="4" w:space="0" w:color="auto"/>
              <w:bottom w:val="single" w:sz="4" w:space="0" w:color="auto"/>
              <w:right w:val="single" w:sz="4" w:space="0" w:color="auto"/>
            </w:tcBorders>
            <w:hideMark/>
          </w:tcPr>
          <w:p w14:paraId="3DB9934E" w14:textId="77777777" w:rsidR="0036567A" w:rsidRPr="005F53CF" w:rsidRDefault="0036567A">
            <w:pPr>
              <w:spacing w:after="0"/>
              <w:rPr>
                <w:rFonts w:ascii="Arial" w:hAnsi="Arial" w:cs="Arial"/>
                <w:color w:val="000000"/>
                <w:sz w:val="24"/>
                <w:szCs w:val="24"/>
                <w:lang w:eastAsia="en-GB"/>
              </w:rPr>
            </w:pPr>
            <w:r w:rsidRPr="005F53CF">
              <w:rPr>
                <w:rFonts w:ascii="Arial" w:hAnsi="Arial" w:cs="Arial"/>
                <w:color w:val="000000"/>
                <w:sz w:val="24"/>
                <w:szCs w:val="24"/>
                <w:lang w:eastAsia="en-GB"/>
              </w:rPr>
              <w:t>Notional Allocation</w:t>
            </w:r>
          </w:p>
        </w:tc>
        <w:tc>
          <w:tcPr>
            <w:tcW w:w="1418" w:type="dxa"/>
            <w:tcBorders>
              <w:top w:val="nil"/>
              <w:left w:val="nil"/>
              <w:bottom w:val="single" w:sz="4" w:space="0" w:color="auto"/>
              <w:right w:val="single" w:sz="4" w:space="0" w:color="auto"/>
            </w:tcBorders>
            <w:noWrap/>
            <w:hideMark/>
          </w:tcPr>
          <w:p w14:paraId="1354F9CB" w14:textId="50531391" w:rsidR="0036567A" w:rsidRPr="005F53CF" w:rsidRDefault="0036567A" w:rsidP="00F460FC">
            <w:pPr>
              <w:spacing w:after="0"/>
              <w:jc w:val="right"/>
              <w:rPr>
                <w:rFonts w:ascii="Arial" w:hAnsi="Arial" w:cs="Arial"/>
                <w:b/>
                <w:color w:val="000000"/>
                <w:sz w:val="24"/>
                <w:szCs w:val="24"/>
                <w:lang w:eastAsia="en-GB"/>
              </w:rPr>
            </w:pPr>
            <w:r w:rsidRPr="005F53CF">
              <w:rPr>
                <w:rFonts w:ascii="Arial" w:hAnsi="Arial" w:cs="Arial"/>
                <w:b/>
                <w:sz w:val="24"/>
                <w:szCs w:val="24"/>
              </w:rPr>
              <w:t>£</w:t>
            </w:r>
            <w:r>
              <w:rPr>
                <w:rFonts w:ascii="Arial" w:hAnsi="Arial" w:cs="Arial"/>
                <w:b/>
                <w:sz w:val="24"/>
                <w:szCs w:val="24"/>
              </w:rPr>
              <w:t>9.19</w:t>
            </w:r>
          </w:p>
        </w:tc>
        <w:tc>
          <w:tcPr>
            <w:tcW w:w="834" w:type="dxa"/>
            <w:tcBorders>
              <w:top w:val="nil"/>
              <w:left w:val="nil"/>
              <w:bottom w:val="single" w:sz="4" w:space="0" w:color="auto"/>
              <w:right w:val="single" w:sz="4" w:space="0" w:color="auto"/>
            </w:tcBorders>
            <w:noWrap/>
            <w:hideMark/>
          </w:tcPr>
          <w:p w14:paraId="3DFFAE26" w14:textId="77777777" w:rsidR="0036567A" w:rsidRPr="005F53CF" w:rsidRDefault="0036567A">
            <w:pPr>
              <w:spacing w:after="0"/>
              <w:jc w:val="right"/>
              <w:rPr>
                <w:rFonts w:ascii="Arial" w:hAnsi="Arial" w:cs="Arial"/>
                <w:b/>
                <w:color w:val="000000"/>
                <w:sz w:val="24"/>
                <w:szCs w:val="24"/>
                <w:lang w:eastAsia="en-GB"/>
              </w:rPr>
            </w:pPr>
            <w:r w:rsidRPr="005F53CF">
              <w:rPr>
                <w:rFonts w:ascii="Arial" w:hAnsi="Arial" w:cs="Arial"/>
                <w:b/>
                <w:sz w:val="24"/>
                <w:szCs w:val="24"/>
              </w:rPr>
              <w:t>£0.6</w:t>
            </w:r>
          </w:p>
        </w:tc>
        <w:tc>
          <w:tcPr>
            <w:tcW w:w="1292" w:type="dxa"/>
            <w:tcBorders>
              <w:top w:val="nil"/>
              <w:left w:val="nil"/>
              <w:bottom w:val="single" w:sz="4" w:space="0" w:color="auto"/>
              <w:right w:val="single" w:sz="4" w:space="0" w:color="auto"/>
            </w:tcBorders>
            <w:noWrap/>
            <w:hideMark/>
          </w:tcPr>
          <w:p w14:paraId="14C8B3A3" w14:textId="2A28DCCD" w:rsidR="0036567A" w:rsidRPr="005F53CF" w:rsidRDefault="0036567A">
            <w:pPr>
              <w:spacing w:after="0"/>
              <w:jc w:val="right"/>
              <w:rPr>
                <w:rFonts w:ascii="Arial" w:hAnsi="Arial" w:cs="Arial"/>
                <w:b/>
                <w:color w:val="000000"/>
                <w:sz w:val="24"/>
                <w:szCs w:val="24"/>
                <w:lang w:eastAsia="en-GB"/>
              </w:rPr>
            </w:pPr>
            <w:r w:rsidRPr="005F53CF">
              <w:rPr>
                <w:rFonts w:ascii="Arial" w:hAnsi="Arial" w:cs="Arial"/>
                <w:b/>
                <w:sz w:val="24"/>
                <w:szCs w:val="24"/>
              </w:rPr>
              <w:t>£2</w:t>
            </w:r>
            <w:r>
              <w:rPr>
                <w:rFonts w:ascii="Arial" w:hAnsi="Arial" w:cs="Arial"/>
                <w:b/>
                <w:sz w:val="24"/>
                <w:szCs w:val="24"/>
              </w:rPr>
              <w:t>0</w:t>
            </w:r>
            <w:r w:rsidRPr="005F53CF">
              <w:rPr>
                <w:rFonts w:ascii="Arial" w:hAnsi="Arial" w:cs="Arial"/>
                <w:b/>
                <w:sz w:val="24"/>
                <w:szCs w:val="24"/>
              </w:rPr>
              <w:t>.</w:t>
            </w:r>
            <w:r>
              <w:rPr>
                <w:rFonts w:ascii="Arial" w:hAnsi="Arial" w:cs="Arial"/>
                <w:b/>
                <w:sz w:val="24"/>
                <w:szCs w:val="24"/>
              </w:rPr>
              <w:t>9</w:t>
            </w:r>
          </w:p>
        </w:tc>
        <w:tc>
          <w:tcPr>
            <w:tcW w:w="1134" w:type="dxa"/>
            <w:tcBorders>
              <w:top w:val="nil"/>
              <w:left w:val="nil"/>
              <w:bottom w:val="single" w:sz="4" w:space="0" w:color="auto"/>
              <w:right w:val="single" w:sz="4" w:space="0" w:color="auto"/>
            </w:tcBorders>
            <w:noWrap/>
            <w:hideMark/>
          </w:tcPr>
          <w:p w14:paraId="72A020CB" w14:textId="7CAB7491" w:rsidR="0036567A" w:rsidRPr="005F53CF" w:rsidRDefault="0036567A" w:rsidP="00015B7E">
            <w:pPr>
              <w:spacing w:after="0"/>
              <w:jc w:val="right"/>
              <w:rPr>
                <w:rFonts w:ascii="Arial" w:hAnsi="Arial" w:cs="Arial"/>
                <w:b/>
                <w:color w:val="000000"/>
                <w:sz w:val="24"/>
                <w:szCs w:val="24"/>
                <w:lang w:eastAsia="en-GB"/>
              </w:rPr>
            </w:pPr>
            <w:r w:rsidRPr="005F53CF">
              <w:rPr>
                <w:rFonts w:ascii="Arial" w:hAnsi="Arial" w:cs="Arial"/>
                <w:b/>
                <w:sz w:val="24"/>
                <w:szCs w:val="24"/>
              </w:rPr>
              <w:t>£</w:t>
            </w:r>
            <w:r>
              <w:rPr>
                <w:rFonts w:ascii="Arial" w:hAnsi="Arial" w:cs="Arial"/>
                <w:b/>
                <w:sz w:val="24"/>
                <w:szCs w:val="24"/>
              </w:rPr>
              <w:t>11.43</w:t>
            </w:r>
          </w:p>
        </w:tc>
        <w:tc>
          <w:tcPr>
            <w:tcW w:w="1417" w:type="dxa"/>
            <w:tcBorders>
              <w:top w:val="nil"/>
              <w:left w:val="nil"/>
              <w:bottom w:val="single" w:sz="4" w:space="0" w:color="auto"/>
              <w:right w:val="single" w:sz="4" w:space="0" w:color="auto"/>
            </w:tcBorders>
            <w:noWrap/>
            <w:hideMark/>
          </w:tcPr>
          <w:p w14:paraId="04170EE0" w14:textId="77777777" w:rsidR="0036567A" w:rsidRPr="005F53CF" w:rsidRDefault="0036567A">
            <w:pPr>
              <w:spacing w:after="0"/>
              <w:jc w:val="right"/>
              <w:rPr>
                <w:rFonts w:ascii="Arial" w:hAnsi="Arial" w:cs="Arial"/>
                <w:b/>
                <w:color w:val="000000"/>
                <w:sz w:val="24"/>
                <w:szCs w:val="24"/>
                <w:lang w:eastAsia="en-GB"/>
              </w:rPr>
            </w:pPr>
            <w:r w:rsidRPr="005F53CF">
              <w:rPr>
                <w:rFonts w:ascii="Arial" w:hAnsi="Arial" w:cs="Arial"/>
                <w:b/>
                <w:sz w:val="24"/>
                <w:szCs w:val="24"/>
              </w:rPr>
              <w:t>£5.7</w:t>
            </w:r>
          </w:p>
        </w:tc>
        <w:tc>
          <w:tcPr>
            <w:tcW w:w="1276" w:type="dxa"/>
            <w:tcBorders>
              <w:top w:val="nil"/>
              <w:left w:val="nil"/>
              <w:bottom w:val="single" w:sz="4" w:space="0" w:color="auto"/>
              <w:right w:val="single" w:sz="4" w:space="0" w:color="auto"/>
            </w:tcBorders>
            <w:noWrap/>
            <w:hideMark/>
          </w:tcPr>
          <w:p w14:paraId="03A2560F" w14:textId="77777777" w:rsidR="0036567A" w:rsidRPr="005F53CF" w:rsidRDefault="0036567A">
            <w:pPr>
              <w:spacing w:after="0"/>
              <w:jc w:val="right"/>
              <w:rPr>
                <w:rFonts w:ascii="Arial" w:hAnsi="Arial" w:cs="Arial"/>
                <w:b/>
                <w:color w:val="000000"/>
                <w:sz w:val="24"/>
                <w:szCs w:val="24"/>
                <w:lang w:eastAsia="en-GB"/>
              </w:rPr>
            </w:pPr>
            <w:r w:rsidRPr="005F53CF">
              <w:rPr>
                <w:rFonts w:ascii="Arial" w:hAnsi="Arial" w:cs="Arial"/>
                <w:b/>
                <w:sz w:val="24"/>
                <w:szCs w:val="24"/>
              </w:rPr>
              <w:t>£1.5</w:t>
            </w:r>
          </w:p>
        </w:tc>
        <w:tc>
          <w:tcPr>
            <w:tcW w:w="992" w:type="dxa"/>
            <w:tcBorders>
              <w:top w:val="nil"/>
              <w:left w:val="nil"/>
              <w:bottom w:val="single" w:sz="4" w:space="0" w:color="auto"/>
              <w:right w:val="single" w:sz="4" w:space="0" w:color="auto"/>
            </w:tcBorders>
            <w:noWrap/>
            <w:hideMark/>
          </w:tcPr>
          <w:p w14:paraId="05CC3726" w14:textId="77777777" w:rsidR="0036567A" w:rsidRPr="005F53CF" w:rsidRDefault="0036567A">
            <w:pPr>
              <w:spacing w:after="0"/>
              <w:jc w:val="right"/>
              <w:rPr>
                <w:rFonts w:ascii="Arial" w:hAnsi="Arial" w:cs="Arial"/>
                <w:b/>
                <w:color w:val="000000"/>
                <w:sz w:val="24"/>
                <w:szCs w:val="24"/>
                <w:lang w:eastAsia="en-GB"/>
              </w:rPr>
            </w:pPr>
            <w:r w:rsidRPr="005F53CF">
              <w:rPr>
                <w:rFonts w:ascii="Arial" w:hAnsi="Arial" w:cs="Arial"/>
                <w:b/>
                <w:sz w:val="24"/>
                <w:szCs w:val="24"/>
              </w:rPr>
              <w:t>£49.4</w:t>
            </w:r>
          </w:p>
        </w:tc>
      </w:tr>
      <w:tr w:rsidR="0036567A" w:rsidRPr="005F53CF" w14:paraId="54A26BAE" w14:textId="77777777" w:rsidTr="0036567A">
        <w:trPr>
          <w:trHeight w:val="447"/>
        </w:trPr>
        <w:tc>
          <w:tcPr>
            <w:tcW w:w="1702" w:type="dxa"/>
            <w:tcBorders>
              <w:top w:val="nil"/>
              <w:left w:val="single" w:sz="4" w:space="0" w:color="auto"/>
              <w:bottom w:val="single" w:sz="4" w:space="0" w:color="auto"/>
              <w:right w:val="single" w:sz="4" w:space="0" w:color="auto"/>
            </w:tcBorders>
            <w:hideMark/>
          </w:tcPr>
          <w:p w14:paraId="05ED44E3" w14:textId="77777777" w:rsidR="0036567A" w:rsidRPr="005F53CF" w:rsidRDefault="0036567A">
            <w:pPr>
              <w:spacing w:after="0"/>
              <w:rPr>
                <w:rFonts w:ascii="Arial" w:hAnsi="Arial" w:cs="Arial"/>
                <w:color w:val="000000"/>
                <w:sz w:val="24"/>
                <w:szCs w:val="24"/>
                <w:lang w:eastAsia="en-GB"/>
              </w:rPr>
            </w:pPr>
            <w:r w:rsidRPr="005F53CF">
              <w:rPr>
                <w:rFonts w:ascii="Arial" w:hAnsi="Arial" w:cs="Arial"/>
                <w:color w:val="000000"/>
                <w:sz w:val="24"/>
                <w:szCs w:val="24"/>
                <w:lang w:eastAsia="en-GB"/>
              </w:rPr>
              <w:t>Balance remaining</w:t>
            </w:r>
          </w:p>
        </w:tc>
        <w:tc>
          <w:tcPr>
            <w:tcW w:w="1418" w:type="dxa"/>
            <w:tcBorders>
              <w:top w:val="nil"/>
              <w:left w:val="nil"/>
              <w:bottom w:val="single" w:sz="4" w:space="0" w:color="auto"/>
              <w:right w:val="single" w:sz="4" w:space="0" w:color="auto"/>
            </w:tcBorders>
            <w:noWrap/>
            <w:hideMark/>
          </w:tcPr>
          <w:p w14:paraId="7A78590E" w14:textId="58A3E58C" w:rsidR="0036567A" w:rsidRPr="005F53CF" w:rsidRDefault="0036567A">
            <w:pPr>
              <w:spacing w:after="0"/>
              <w:jc w:val="right"/>
              <w:rPr>
                <w:rFonts w:ascii="Arial" w:hAnsi="Arial" w:cs="Arial"/>
                <w:color w:val="000000"/>
                <w:sz w:val="24"/>
                <w:szCs w:val="24"/>
                <w:lang w:eastAsia="en-GB"/>
              </w:rPr>
            </w:pPr>
            <w:r w:rsidRPr="005F53CF">
              <w:rPr>
                <w:rFonts w:ascii="Arial" w:hAnsi="Arial" w:cs="Arial"/>
                <w:sz w:val="24"/>
                <w:szCs w:val="24"/>
              </w:rPr>
              <w:t>£</w:t>
            </w:r>
            <w:r>
              <w:rPr>
                <w:rFonts w:ascii="Arial" w:hAnsi="Arial" w:cs="Arial"/>
                <w:sz w:val="24"/>
                <w:szCs w:val="24"/>
              </w:rPr>
              <w:t>6.74</w:t>
            </w:r>
          </w:p>
        </w:tc>
        <w:tc>
          <w:tcPr>
            <w:tcW w:w="834" w:type="dxa"/>
            <w:tcBorders>
              <w:top w:val="nil"/>
              <w:left w:val="nil"/>
              <w:bottom w:val="single" w:sz="4" w:space="0" w:color="auto"/>
              <w:right w:val="single" w:sz="4" w:space="0" w:color="auto"/>
            </w:tcBorders>
            <w:noWrap/>
            <w:hideMark/>
          </w:tcPr>
          <w:p w14:paraId="75FD6ECF" w14:textId="77777777" w:rsidR="0036567A" w:rsidRPr="005F53CF" w:rsidRDefault="0036567A">
            <w:pPr>
              <w:spacing w:after="0"/>
              <w:jc w:val="right"/>
              <w:rPr>
                <w:rFonts w:ascii="Arial" w:hAnsi="Arial" w:cs="Arial"/>
                <w:color w:val="000000"/>
                <w:sz w:val="24"/>
                <w:szCs w:val="24"/>
                <w:lang w:eastAsia="en-GB"/>
              </w:rPr>
            </w:pPr>
            <w:r w:rsidRPr="005F53CF">
              <w:rPr>
                <w:rFonts w:ascii="Arial" w:hAnsi="Arial" w:cs="Arial"/>
                <w:sz w:val="24"/>
                <w:szCs w:val="24"/>
              </w:rPr>
              <w:t>£0.1</w:t>
            </w:r>
          </w:p>
        </w:tc>
        <w:tc>
          <w:tcPr>
            <w:tcW w:w="1292" w:type="dxa"/>
            <w:tcBorders>
              <w:top w:val="nil"/>
              <w:left w:val="nil"/>
              <w:bottom w:val="single" w:sz="4" w:space="0" w:color="auto"/>
              <w:right w:val="single" w:sz="4" w:space="0" w:color="auto"/>
            </w:tcBorders>
            <w:noWrap/>
            <w:hideMark/>
          </w:tcPr>
          <w:p w14:paraId="1690FDCD" w14:textId="22AA03E7" w:rsidR="0036567A" w:rsidRPr="005F53CF" w:rsidRDefault="0036567A" w:rsidP="00377919">
            <w:pPr>
              <w:spacing w:after="0"/>
              <w:jc w:val="right"/>
              <w:rPr>
                <w:rFonts w:ascii="Arial" w:hAnsi="Arial" w:cs="Arial"/>
                <w:color w:val="000000"/>
                <w:sz w:val="24"/>
                <w:szCs w:val="24"/>
                <w:lang w:eastAsia="en-GB"/>
              </w:rPr>
            </w:pPr>
            <w:r w:rsidRPr="005F53CF">
              <w:rPr>
                <w:rFonts w:ascii="Arial" w:hAnsi="Arial" w:cs="Arial"/>
                <w:sz w:val="24"/>
                <w:szCs w:val="24"/>
              </w:rPr>
              <w:t>£</w:t>
            </w:r>
            <w:r>
              <w:rPr>
                <w:rFonts w:ascii="Arial" w:hAnsi="Arial" w:cs="Arial"/>
                <w:sz w:val="24"/>
                <w:szCs w:val="24"/>
              </w:rPr>
              <w:t>7.27</w:t>
            </w:r>
          </w:p>
        </w:tc>
        <w:tc>
          <w:tcPr>
            <w:tcW w:w="1134" w:type="dxa"/>
            <w:tcBorders>
              <w:top w:val="nil"/>
              <w:left w:val="nil"/>
              <w:bottom w:val="single" w:sz="4" w:space="0" w:color="auto"/>
              <w:right w:val="single" w:sz="4" w:space="0" w:color="auto"/>
            </w:tcBorders>
            <w:noWrap/>
            <w:hideMark/>
          </w:tcPr>
          <w:p w14:paraId="53656C07" w14:textId="7C7B400A" w:rsidR="0036567A" w:rsidRPr="005F53CF" w:rsidRDefault="0036567A" w:rsidP="00015B7E">
            <w:pPr>
              <w:spacing w:after="0"/>
              <w:jc w:val="right"/>
              <w:rPr>
                <w:rFonts w:ascii="Arial" w:hAnsi="Arial" w:cs="Arial"/>
                <w:color w:val="000000"/>
                <w:sz w:val="24"/>
                <w:szCs w:val="24"/>
                <w:lang w:eastAsia="en-GB"/>
              </w:rPr>
            </w:pPr>
            <w:r w:rsidRPr="005F53CF">
              <w:rPr>
                <w:rFonts w:ascii="Arial" w:hAnsi="Arial" w:cs="Arial"/>
                <w:sz w:val="24"/>
                <w:szCs w:val="24"/>
              </w:rPr>
              <w:t>£</w:t>
            </w:r>
            <w:r>
              <w:rPr>
                <w:rFonts w:ascii="Arial" w:hAnsi="Arial" w:cs="Arial"/>
                <w:sz w:val="24"/>
                <w:szCs w:val="24"/>
              </w:rPr>
              <w:t>0.48</w:t>
            </w:r>
          </w:p>
        </w:tc>
        <w:tc>
          <w:tcPr>
            <w:tcW w:w="1417" w:type="dxa"/>
            <w:tcBorders>
              <w:top w:val="nil"/>
              <w:left w:val="nil"/>
              <w:bottom w:val="single" w:sz="4" w:space="0" w:color="auto"/>
              <w:right w:val="single" w:sz="4" w:space="0" w:color="auto"/>
            </w:tcBorders>
            <w:noWrap/>
            <w:hideMark/>
          </w:tcPr>
          <w:p w14:paraId="74EE181D" w14:textId="77777777" w:rsidR="0036567A" w:rsidRPr="005F53CF" w:rsidRDefault="0036567A">
            <w:pPr>
              <w:spacing w:after="0"/>
              <w:jc w:val="right"/>
              <w:rPr>
                <w:rFonts w:ascii="Arial" w:hAnsi="Arial" w:cs="Arial"/>
                <w:color w:val="000000"/>
                <w:sz w:val="24"/>
                <w:szCs w:val="24"/>
                <w:lang w:eastAsia="en-GB"/>
              </w:rPr>
            </w:pPr>
            <w:r w:rsidRPr="005F53CF">
              <w:rPr>
                <w:rFonts w:ascii="Arial" w:hAnsi="Arial" w:cs="Arial"/>
                <w:sz w:val="24"/>
                <w:szCs w:val="24"/>
              </w:rPr>
              <w:t>£0.4</w:t>
            </w:r>
          </w:p>
        </w:tc>
        <w:tc>
          <w:tcPr>
            <w:tcW w:w="1276" w:type="dxa"/>
            <w:tcBorders>
              <w:top w:val="nil"/>
              <w:left w:val="nil"/>
              <w:bottom w:val="single" w:sz="4" w:space="0" w:color="auto"/>
              <w:right w:val="single" w:sz="4" w:space="0" w:color="auto"/>
            </w:tcBorders>
            <w:noWrap/>
            <w:hideMark/>
          </w:tcPr>
          <w:p w14:paraId="6D200CFD" w14:textId="0E3CA9ED" w:rsidR="0036567A" w:rsidRPr="005F53CF" w:rsidRDefault="0036567A" w:rsidP="003A22EC">
            <w:pPr>
              <w:spacing w:after="0"/>
              <w:jc w:val="right"/>
              <w:rPr>
                <w:rFonts w:ascii="Arial" w:hAnsi="Arial" w:cs="Arial"/>
                <w:color w:val="000000"/>
                <w:sz w:val="24"/>
                <w:szCs w:val="24"/>
                <w:lang w:eastAsia="en-GB"/>
              </w:rPr>
            </w:pPr>
            <w:r w:rsidRPr="005F53CF">
              <w:rPr>
                <w:rFonts w:ascii="Arial" w:hAnsi="Arial" w:cs="Arial"/>
                <w:sz w:val="24"/>
                <w:szCs w:val="24"/>
              </w:rPr>
              <w:t>£</w:t>
            </w:r>
            <w:r>
              <w:rPr>
                <w:rFonts w:ascii="Arial" w:hAnsi="Arial" w:cs="Arial"/>
                <w:sz w:val="24"/>
                <w:szCs w:val="24"/>
              </w:rPr>
              <w:t>0.14</w:t>
            </w:r>
          </w:p>
        </w:tc>
        <w:tc>
          <w:tcPr>
            <w:tcW w:w="992" w:type="dxa"/>
            <w:tcBorders>
              <w:top w:val="nil"/>
              <w:left w:val="nil"/>
              <w:bottom w:val="single" w:sz="4" w:space="0" w:color="auto"/>
              <w:right w:val="single" w:sz="4" w:space="0" w:color="auto"/>
            </w:tcBorders>
            <w:noWrap/>
            <w:hideMark/>
          </w:tcPr>
          <w:p w14:paraId="019F3AE1" w14:textId="484FB3BA" w:rsidR="0036567A" w:rsidRPr="005F53CF" w:rsidRDefault="0036567A" w:rsidP="00A0356C">
            <w:pPr>
              <w:spacing w:after="0"/>
              <w:jc w:val="right"/>
              <w:rPr>
                <w:rFonts w:ascii="Arial" w:hAnsi="Arial" w:cs="Arial"/>
                <w:color w:val="000000"/>
                <w:sz w:val="24"/>
                <w:szCs w:val="24"/>
                <w:lang w:eastAsia="en-GB"/>
              </w:rPr>
            </w:pPr>
            <w:r w:rsidRPr="005F53CF">
              <w:rPr>
                <w:rFonts w:ascii="Arial" w:hAnsi="Arial" w:cs="Arial"/>
                <w:sz w:val="24"/>
                <w:szCs w:val="24"/>
              </w:rPr>
              <w:t>£</w:t>
            </w:r>
            <w:r>
              <w:rPr>
                <w:rFonts w:ascii="Arial" w:hAnsi="Arial" w:cs="Arial"/>
                <w:sz w:val="24"/>
                <w:szCs w:val="24"/>
              </w:rPr>
              <w:t>15.1</w:t>
            </w:r>
          </w:p>
        </w:tc>
      </w:tr>
      <w:tr w:rsidR="0036567A" w:rsidRPr="005F53CF" w14:paraId="6346D56D" w14:textId="77777777" w:rsidTr="0036567A">
        <w:trPr>
          <w:trHeight w:val="191"/>
        </w:trPr>
        <w:tc>
          <w:tcPr>
            <w:tcW w:w="1702" w:type="dxa"/>
            <w:tcBorders>
              <w:top w:val="nil"/>
              <w:left w:val="single" w:sz="4" w:space="0" w:color="auto"/>
              <w:bottom w:val="single" w:sz="4" w:space="0" w:color="auto"/>
              <w:right w:val="single" w:sz="4" w:space="0" w:color="auto"/>
            </w:tcBorders>
            <w:hideMark/>
          </w:tcPr>
          <w:p w14:paraId="7609D6EA" w14:textId="77777777" w:rsidR="0036567A" w:rsidRPr="005F53CF" w:rsidRDefault="0036567A">
            <w:pPr>
              <w:spacing w:after="0"/>
              <w:rPr>
                <w:rFonts w:ascii="Arial" w:hAnsi="Arial" w:cs="Arial"/>
                <w:color w:val="000000"/>
                <w:sz w:val="24"/>
                <w:szCs w:val="24"/>
                <w:lang w:eastAsia="en-GB"/>
              </w:rPr>
            </w:pPr>
            <w:r w:rsidRPr="005F53CF">
              <w:rPr>
                <w:rFonts w:ascii="Arial" w:hAnsi="Arial" w:cs="Arial"/>
                <w:color w:val="000000"/>
                <w:sz w:val="24"/>
                <w:szCs w:val="24"/>
                <w:lang w:eastAsia="en-GB"/>
              </w:rPr>
              <w:t>% taken up</w:t>
            </w:r>
          </w:p>
        </w:tc>
        <w:tc>
          <w:tcPr>
            <w:tcW w:w="1418" w:type="dxa"/>
            <w:tcBorders>
              <w:top w:val="nil"/>
              <w:left w:val="nil"/>
              <w:bottom w:val="single" w:sz="4" w:space="0" w:color="auto"/>
              <w:right w:val="single" w:sz="4" w:space="0" w:color="auto"/>
            </w:tcBorders>
            <w:noWrap/>
            <w:hideMark/>
          </w:tcPr>
          <w:p w14:paraId="7286B91A" w14:textId="34AEBD1D" w:rsidR="0036567A" w:rsidRPr="005F53CF" w:rsidRDefault="0036567A">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2</w:t>
            </w:r>
            <w:r>
              <w:rPr>
                <w:rFonts w:ascii="Arial" w:hAnsi="Arial" w:cs="Arial"/>
                <w:color w:val="000000"/>
                <w:sz w:val="24"/>
                <w:szCs w:val="24"/>
                <w:lang w:eastAsia="en-GB"/>
              </w:rPr>
              <w:t>6.6</w:t>
            </w:r>
            <w:r w:rsidRPr="005F53CF">
              <w:rPr>
                <w:rFonts w:ascii="Arial" w:hAnsi="Arial" w:cs="Arial"/>
                <w:color w:val="000000"/>
                <w:sz w:val="24"/>
                <w:szCs w:val="24"/>
                <w:lang w:eastAsia="en-GB"/>
              </w:rPr>
              <w:t>%</w:t>
            </w:r>
          </w:p>
        </w:tc>
        <w:tc>
          <w:tcPr>
            <w:tcW w:w="834" w:type="dxa"/>
            <w:tcBorders>
              <w:top w:val="nil"/>
              <w:left w:val="nil"/>
              <w:bottom w:val="single" w:sz="4" w:space="0" w:color="auto"/>
              <w:right w:val="single" w:sz="4" w:space="0" w:color="auto"/>
            </w:tcBorders>
            <w:noWrap/>
            <w:hideMark/>
          </w:tcPr>
          <w:p w14:paraId="35782271" w14:textId="77777777" w:rsidR="0036567A" w:rsidRPr="005F53CF" w:rsidRDefault="0036567A">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84%</w:t>
            </w:r>
          </w:p>
        </w:tc>
        <w:tc>
          <w:tcPr>
            <w:tcW w:w="1292" w:type="dxa"/>
            <w:tcBorders>
              <w:top w:val="nil"/>
              <w:left w:val="nil"/>
              <w:bottom w:val="single" w:sz="4" w:space="0" w:color="auto"/>
              <w:right w:val="single" w:sz="4" w:space="0" w:color="auto"/>
            </w:tcBorders>
            <w:noWrap/>
            <w:hideMark/>
          </w:tcPr>
          <w:p w14:paraId="5CCE169A" w14:textId="2E99D382" w:rsidR="0036567A" w:rsidRPr="005F53CF" w:rsidRDefault="0036567A">
            <w:pPr>
              <w:spacing w:after="0"/>
              <w:jc w:val="right"/>
              <w:rPr>
                <w:rFonts w:ascii="Arial" w:hAnsi="Arial" w:cs="Arial"/>
                <w:color w:val="000000"/>
                <w:sz w:val="24"/>
                <w:szCs w:val="24"/>
                <w:lang w:eastAsia="en-GB"/>
              </w:rPr>
            </w:pPr>
            <w:r>
              <w:rPr>
                <w:rFonts w:ascii="Arial" w:hAnsi="Arial" w:cs="Arial"/>
                <w:color w:val="000000"/>
                <w:sz w:val="24"/>
                <w:szCs w:val="24"/>
                <w:lang w:eastAsia="en-GB"/>
              </w:rPr>
              <w:t>65.4</w:t>
            </w:r>
            <w:r w:rsidRPr="005F53CF">
              <w:rPr>
                <w:rFonts w:ascii="Arial" w:hAnsi="Arial" w:cs="Arial"/>
                <w:color w:val="000000"/>
                <w:sz w:val="24"/>
                <w:szCs w:val="24"/>
                <w:lang w:eastAsia="en-GB"/>
              </w:rPr>
              <w:t>%</w:t>
            </w:r>
          </w:p>
        </w:tc>
        <w:tc>
          <w:tcPr>
            <w:tcW w:w="1134" w:type="dxa"/>
            <w:tcBorders>
              <w:top w:val="nil"/>
              <w:left w:val="nil"/>
              <w:bottom w:val="single" w:sz="4" w:space="0" w:color="auto"/>
              <w:right w:val="single" w:sz="4" w:space="0" w:color="auto"/>
            </w:tcBorders>
            <w:noWrap/>
            <w:hideMark/>
          </w:tcPr>
          <w:p w14:paraId="6945EBB5" w14:textId="5E53F120" w:rsidR="0036567A" w:rsidRPr="005F53CF" w:rsidRDefault="0036567A">
            <w:pPr>
              <w:spacing w:after="0"/>
              <w:jc w:val="right"/>
              <w:rPr>
                <w:rFonts w:ascii="Arial" w:hAnsi="Arial" w:cs="Arial"/>
                <w:color w:val="000000"/>
                <w:sz w:val="24"/>
                <w:szCs w:val="24"/>
                <w:lang w:eastAsia="en-GB"/>
              </w:rPr>
            </w:pPr>
            <w:r>
              <w:rPr>
                <w:rFonts w:ascii="Arial" w:hAnsi="Arial" w:cs="Arial"/>
                <w:color w:val="000000"/>
                <w:sz w:val="24"/>
                <w:szCs w:val="24"/>
                <w:lang w:eastAsia="en-GB"/>
              </w:rPr>
              <w:t>95.8</w:t>
            </w:r>
            <w:r w:rsidRPr="005F53CF">
              <w:rPr>
                <w:rFonts w:ascii="Arial" w:hAnsi="Arial" w:cs="Arial"/>
                <w:color w:val="000000"/>
                <w:sz w:val="24"/>
                <w:szCs w:val="24"/>
                <w:lang w:eastAsia="en-GB"/>
              </w:rPr>
              <w:t>%</w:t>
            </w:r>
          </w:p>
        </w:tc>
        <w:tc>
          <w:tcPr>
            <w:tcW w:w="1417" w:type="dxa"/>
            <w:tcBorders>
              <w:top w:val="nil"/>
              <w:left w:val="nil"/>
              <w:bottom w:val="single" w:sz="4" w:space="0" w:color="auto"/>
              <w:right w:val="single" w:sz="4" w:space="0" w:color="auto"/>
            </w:tcBorders>
            <w:noWrap/>
            <w:hideMark/>
          </w:tcPr>
          <w:p w14:paraId="3A706FD2" w14:textId="77777777" w:rsidR="0036567A" w:rsidRPr="005F53CF" w:rsidRDefault="0036567A">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94%</w:t>
            </w:r>
          </w:p>
        </w:tc>
        <w:tc>
          <w:tcPr>
            <w:tcW w:w="1276" w:type="dxa"/>
            <w:tcBorders>
              <w:top w:val="nil"/>
              <w:left w:val="nil"/>
              <w:bottom w:val="single" w:sz="4" w:space="0" w:color="auto"/>
              <w:right w:val="single" w:sz="4" w:space="0" w:color="auto"/>
            </w:tcBorders>
            <w:noWrap/>
            <w:hideMark/>
          </w:tcPr>
          <w:p w14:paraId="067EA8CE" w14:textId="55563CBA" w:rsidR="0036567A" w:rsidRPr="005F53CF" w:rsidRDefault="0036567A">
            <w:pPr>
              <w:spacing w:after="0"/>
              <w:jc w:val="right"/>
              <w:rPr>
                <w:rFonts w:ascii="Arial" w:hAnsi="Arial" w:cs="Arial"/>
                <w:color w:val="000000"/>
                <w:sz w:val="24"/>
                <w:szCs w:val="24"/>
                <w:lang w:eastAsia="en-GB"/>
              </w:rPr>
            </w:pPr>
            <w:r>
              <w:rPr>
                <w:rFonts w:ascii="Arial" w:hAnsi="Arial" w:cs="Arial"/>
                <w:color w:val="000000"/>
                <w:sz w:val="24"/>
                <w:szCs w:val="24"/>
                <w:lang w:eastAsia="en-GB"/>
              </w:rPr>
              <w:t>90.4</w:t>
            </w:r>
            <w:r w:rsidRPr="005F53CF">
              <w:rPr>
                <w:rFonts w:ascii="Arial" w:hAnsi="Arial" w:cs="Arial"/>
                <w:color w:val="000000"/>
                <w:sz w:val="24"/>
                <w:szCs w:val="24"/>
                <w:lang w:eastAsia="en-GB"/>
              </w:rPr>
              <w:t>%</w:t>
            </w:r>
          </w:p>
        </w:tc>
        <w:tc>
          <w:tcPr>
            <w:tcW w:w="992" w:type="dxa"/>
            <w:tcBorders>
              <w:top w:val="nil"/>
              <w:left w:val="nil"/>
              <w:bottom w:val="single" w:sz="4" w:space="0" w:color="auto"/>
              <w:right w:val="single" w:sz="4" w:space="0" w:color="auto"/>
            </w:tcBorders>
            <w:noWrap/>
            <w:hideMark/>
          </w:tcPr>
          <w:p w14:paraId="441E8E53" w14:textId="68649F2F" w:rsidR="0036567A" w:rsidRPr="005F53CF" w:rsidRDefault="0036567A">
            <w:pPr>
              <w:spacing w:after="0"/>
              <w:jc w:val="right"/>
              <w:rPr>
                <w:rFonts w:ascii="Arial" w:hAnsi="Arial" w:cs="Arial"/>
                <w:color w:val="000000"/>
                <w:sz w:val="24"/>
                <w:szCs w:val="24"/>
                <w:lang w:eastAsia="en-GB"/>
              </w:rPr>
            </w:pPr>
            <w:r>
              <w:rPr>
                <w:rFonts w:ascii="Arial" w:hAnsi="Arial" w:cs="Arial"/>
                <w:color w:val="000000"/>
                <w:sz w:val="24"/>
                <w:szCs w:val="24"/>
                <w:lang w:eastAsia="en-GB"/>
              </w:rPr>
              <w:t>69.5</w:t>
            </w:r>
            <w:r w:rsidRPr="005F53CF">
              <w:rPr>
                <w:rFonts w:ascii="Arial" w:hAnsi="Arial" w:cs="Arial"/>
                <w:color w:val="000000"/>
                <w:sz w:val="24"/>
                <w:szCs w:val="24"/>
                <w:lang w:eastAsia="en-GB"/>
              </w:rPr>
              <w:t>%</w:t>
            </w:r>
          </w:p>
        </w:tc>
      </w:tr>
      <w:tr w:rsidR="0036567A" w:rsidRPr="005F53CF" w14:paraId="71792792" w14:textId="77777777" w:rsidTr="0036567A">
        <w:trPr>
          <w:trHeight w:val="110"/>
        </w:trPr>
        <w:tc>
          <w:tcPr>
            <w:tcW w:w="1702" w:type="dxa"/>
            <w:tcBorders>
              <w:top w:val="nil"/>
              <w:left w:val="single" w:sz="4" w:space="0" w:color="auto"/>
              <w:bottom w:val="single" w:sz="4" w:space="0" w:color="auto"/>
              <w:right w:val="single" w:sz="4" w:space="0" w:color="auto"/>
            </w:tcBorders>
            <w:hideMark/>
          </w:tcPr>
          <w:p w14:paraId="2F76972E" w14:textId="77777777" w:rsidR="0036567A" w:rsidRPr="005F53CF" w:rsidRDefault="0036567A">
            <w:pPr>
              <w:spacing w:after="0"/>
              <w:rPr>
                <w:rFonts w:ascii="Arial" w:hAnsi="Arial" w:cs="Arial"/>
                <w:color w:val="000000"/>
                <w:sz w:val="24"/>
                <w:szCs w:val="24"/>
                <w:lang w:eastAsia="en-GB"/>
              </w:rPr>
            </w:pPr>
            <w:r w:rsidRPr="005F53CF">
              <w:rPr>
                <w:rFonts w:ascii="Arial" w:hAnsi="Arial" w:cs="Arial"/>
                <w:color w:val="000000"/>
                <w:sz w:val="24"/>
                <w:szCs w:val="24"/>
                <w:lang w:eastAsia="en-GB"/>
              </w:rPr>
              <w:t>% contracted</w:t>
            </w:r>
          </w:p>
        </w:tc>
        <w:tc>
          <w:tcPr>
            <w:tcW w:w="1418" w:type="dxa"/>
            <w:tcBorders>
              <w:top w:val="nil"/>
              <w:left w:val="nil"/>
              <w:bottom w:val="single" w:sz="4" w:space="0" w:color="auto"/>
              <w:right w:val="single" w:sz="4" w:space="0" w:color="auto"/>
            </w:tcBorders>
            <w:noWrap/>
            <w:hideMark/>
          </w:tcPr>
          <w:p w14:paraId="73929EB8" w14:textId="773BB253" w:rsidR="0036567A" w:rsidRPr="005F53CF" w:rsidRDefault="0036567A">
            <w:pPr>
              <w:spacing w:after="0"/>
              <w:jc w:val="right"/>
              <w:rPr>
                <w:rFonts w:ascii="Arial" w:hAnsi="Arial" w:cs="Arial"/>
                <w:color w:val="000000"/>
                <w:sz w:val="24"/>
                <w:szCs w:val="24"/>
                <w:lang w:eastAsia="en-GB"/>
              </w:rPr>
            </w:pPr>
            <w:r>
              <w:rPr>
                <w:rFonts w:ascii="Arial" w:hAnsi="Arial" w:cs="Arial"/>
                <w:color w:val="000000"/>
                <w:sz w:val="24"/>
                <w:szCs w:val="24"/>
                <w:lang w:eastAsia="en-GB"/>
              </w:rPr>
              <w:t>26.6</w:t>
            </w:r>
            <w:r w:rsidRPr="005F53CF">
              <w:rPr>
                <w:rFonts w:ascii="Arial" w:hAnsi="Arial" w:cs="Arial"/>
                <w:color w:val="000000"/>
                <w:sz w:val="24"/>
                <w:szCs w:val="24"/>
                <w:lang w:eastAsia="en-GB"/>
              </w:rPr>
              <w:t>%</w:t>
            </w:r>
          </w:p>
        </w:tc>
        <w:tc>
          <w:tcPr>
            <w:tcW w:w="834" w:type="dxa"/>
            <w:tcBorders>
              <w:top w:val="nil"/>
              <w:left w:val="nil"/>
              <w:bottom w:val="single" w:sz="4" w:space="0" w:color="auto"/>
              <w:right w:val="single" w:sz="4" w:space="0" w:color="auto"/>
            </w:tcBorders>
            <w:noWrap/>
            <w:hideMark/>
          </w:tcPr>
          <w:p w14:paraId="5ADFDEF8" w14:textId="77777777" w:rsidR="0036567A" w:rsidRPr="005F53CF" w:rsidRDefault="0036567A">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84%</w:t>
            </w:r>
          </w:p>
        </w:tc>
        <w:tc>
          <w:tcPr>
            <w:tcW w:w="1292" w:type="dxa"/>
            <w:tcBorders>
              <w:top w:val="nil"/>
              <w:left w:val="nil"/>
              <w:bottom w:val="single" w:sz="4" w:space="0" w:color="auto"/>
              <w:right w:val="single" w:sz="4" w:space="0" w:color="auto"/>
            </w:tcBorders>
            <w:noWrap/>
            <w:hideMark/>
          </w:tcPr>
          <w:p w14:paraId="5979C01C" w14:textId="48351BB4" w:rsidR="0036567A" w:rsidRPr="005F53CF" w:rsidRDefault="0036567A">
            <w:pPr>
              <w:spacing w:after="0"/>
              <w:jc w:val="right"/>
              <w:rPr>
                <w:rFonts w:ascii="Arial" w:hAnsi="Arial" w:cs="Arial"/>
                <w:color w:val="000000"/>
                <w:sz w:val="24"/>
                <w:szCs w:val="24"/>
                <w:lang w:eastAsia="en-GB"/>
              </w:rPr>
            </w:pPr>
            <w:r>
              <w:rPr>
                <w:rFonts w:ascii="Arial" w:hAnsi="Arial" w:cs="Arial"/>
                <w:color w:val="000000"/>
                <w:sz w:val="24"/>
                <w:szCs w:val="24"/>
                <w:lang w:eastAsia="en-GB"/>
              </w:rPr>
              <w:t>5</w:t>
            </w:r>
            <w:r w:rsidRPr="005F53CF">
              <w:rPr>
                <w:rFonts w:ascii="Arial" w:hAnsi="Arial" w:cs="Arial"/>
                <w:color w:val="000000"/>
                <w:sz w:val="24"/>
                <w:szCs w:val="24"/>
                <w:lang w:eastAsia="en-GB"/>
              </w:rPr>
              <w:t>0</w:t>
            </w:r>
            <w:r>
              <w:rPr>
                <w:rFonts w:ascii="Arial" w:hAnsi="Arial" w:cs="Arial"/>
                <w:color w:val="000000"/>
                <w:sz w:val="24"/>
                <w:szCs w:val="24"/>
                <w:lang w:eastAsia="en-GB"/>
              </w:rPr>
              <w:t>.7</w:t>
            </w:r>
            <w:r w:rsidRPr="005F53CF">
              <w:rPr>
                <w:rFonts w:ascii="Arial" w:hAnsi="Arial" w:cs="Arial"/>
                <w:color w:val="000000"/>
                <w:sz w:val="24"/>
                <w:szCs w:val="24"/>
                <w:lang w:eastAsia="en-GB"/>
              </w:rPr>
              <w:t>%</w:t>
            </w:r>
          </w:p>
        </w:tc>
        <w:tc>
          <w:tcPr>
            <w:tcW w:w="1134" w:type="dxa"/>
            <w:tcBorders>
              <w:top w:val="nil"/>
              <w:left w:val="nil"/>
              <w:bottom w:val="single" w:sz="4" w:space="0" w:color="auto"/>
              <w:right w:val="single" w:sz="4" w:space="0" w:color="auto"/>
            </w:tcBorders>
            <w:noWrap/>
            <w:hideMark/>
          </w:tcPr>
          <w:p w14:paraId="2ECBE138" w14:textId="3874A47A" w:rsidR="0036567A" w:rsidRPr="005F53CF" w:rsidRDefault="0036567A">
            <w:pPr>
              <w:spacing w:after="0"/>
              <w:jc w:val="right"/>
              <w:rPr>
                <w:rFonts w:ascii="Arial" w:hAnsi="Arial" w:cs="Arial"/>
                <w:color w:val="000000"/>
                <w:sz w:val="24"/>
                <w:szCs w:val="24"/>
                <w:lang w:eastAsia="en-GB"/>
              </w:rPr>
            </w:pPr>
            <w:r>
              <w:rPr>
                <w:rFonts w:ascii="Arial" w:hAnsi="Arial" w:cs="Arial"/>
                <w:color w:val="000000"/>
                <w:sz w:val="24"/>
                <w:szCs w:val="24"/>
                <w:lang w:eastAsia="en-GB"/>
              </w:rPr>
              <w:t>48.5</w:t>
            </w:r>
            <w:r w:rsidRPr="005F53CF">
              <w:rPr>
                <w:rFonts w:ascii="Arial" w:hAnsi="Arial" w:cs="Arial"/>
                <w:color w:val="000000"/>
                <w:sz w:val="24"/>
                <w:szCs w:val="24"/>
                <w:lang w:eastAsia="en-GB"/>
              </w:rPr>
              <w:t>%</w:t>
            </w:r>
          </w:p>
        </w:tc>
        <w:tc>
          <w:tcPr>
            <w:tcW w:w="1417" w:type="dxa"/>
            <w:tcBorders>
              <w:top w:val="nil"/>
              <w:left w:val="nil"/>
              <w:bottom w:val="single" w:sz="4" w:space="0" w:color="auto"/>
              <w:right w:val="single" w:sz="4" w:space="0" w:color="auto"/>
            </w:tcBorders>
            <w:noWrap/>
            <w:hideMark/>
          </w:tcPr>
          <w:p w14:paraId="5E8BDC29" w14:textId="77777777" w:rsidR="0036567A" w:rsidRPr="005F53CF" w:rsidRDefault="0036567A">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0%</w:t>
            </w:r>
          </w:p>
        </w:tc>
        <w:tc>
          <w:tcPr>
            <w:tcW w:w="1276" w:type="dxa"/>
            <w:tcBorders>
              <w:top w:val="nil"/>
              <w:left w:val="nil"/>
              <w:bottom w:val="single" w:sz="4" w:space="0" w:color="auto"/>
              <w:right w:val="single" w:sz="4" w:space="0" w:color="auto"/>
            </w:tcBorders>
            <w:noWrap/>
            <w:hideMark/>
          </w:tcPr>
          <w:p w14:paraId="368A014A" w14:textId="77777777" w:rsidR="0036567A" w:rsidRPr="005F53CF" w:rsidRDefault="0036567A">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0%</w:t>
            </w:r>
          </w:p>
        </w:tc>
        <w:tc>
          <w:tcPr>
            <w:tcW w:w="992" w:type="dxa"/>
            <w:tcBorders>
              <w:top w:val="nil"/>
              <w:left w:val="nil"/>
              <w:bottom w:val="single" w:sz="4" w:space="0" w:color="auto"/>
              <w:right w:val="single" w:sz="4" w:space="0" w:color="auto"/>
            </w:tcBorders>
            <w:noWrap/>
            <w:hideMark/>
          </w:tcPr>
          <w:p w14:paraId="6760390A" w14:textId="6DD6BF39" w:rsidR="0036567A" w:rsidRPr="005F53CF" w:rsidRDefault="0036567A" w:rsidP="00EF17C6">
            <w:pPr>
              <w:spacing w:after="0"/>
              <w:jc w:val="right"/>
              <w:rPr>
                <w:rFonts w:ascii="Arial" w:hAnsi="Arial" w:cs="Arial"/>
                <w:color w:val="000000"/>
                <w:sz w:val="24"/>
                <w:szCs w:val="24"/>
                <w:lang w:eastAsia="en-GB"/>
              </w:rPr>
            </w:pPr>
            <w:r>
              <w:rPr>
                <w:rFonts w:ascii="Arial" w:hAnsi="Arial" w:cs="Arial"/>
                <w:color w:val="000000"/>
                <w:sz w:val="24"/>
                <w:szCs w:val="24"/>
                <w:lang w:eastAsia="en-GB"/>
              </w:rPr>
              <w:t>53.5</w:t>
            </w:r>
            <w:r w:rsidRPr="005F53CF">
              <w:rPr>
                <w:rFonts w:ascii="Arial" w:hAnsi="Arial" w:cs="Arial"/>
                <w:color w:val="000000"/>
                <w:sz w:val="24"/>
                <w:szCs w:val="24"/>
                <w:lang w:eastAsia="en-GB"/>
              </w:rPr>
              <w:t>%</w:t>
            </w:r>
          </w:p>
        </w:tc>
      </w:tr>
    </w:tbl>
    <w:p w14:paraId="045B0D05" w14:textId="759B3DE6" w:rsidR="008B5470" w:rsidRPr="008B5470" w:rsidRDefault="008B5470" w:rsidP="0078326A">
      <w:pPr>
        <w:pStyle w:val="Heading5"/>
        <w:numPr>
          <w:ilvl w:val="0"/>
          <w:numId w:val="0"/>
        </w:numPr>
        <w:ind w:left="680" w:hanging="680"/>
        <w:rPr>
          <w:rFonts w:ascii="Arial" w:hAnsi="Arial" w:cs="Arial"/>
          <w:b/>
          <w:i/>
          <w:sz w:val="24"/>
          <w:szCs w:val="24"/>
        </w:rPr>
      </w:pPr>
      <w:r w:rsidRPr="008B5470">
        <w:rPr>
          <w:rFonts w:ascii="Arial" w:hAnsi="Arial" w:cs="Arial"/>
          <w:b/>
          <w:i/>
          <w:color w:val="660033"/>
          <w:sz w:val="24"/>
          <w:szCs w:val="24"/>
        </w:rPr>
        <w:t>ESF</w:t>
      </w:r>
      <w:r w:rsidRPr="008B5470">
        <w:rPr>
          <w:rFonts w:ascii="Arial" w:hAnsi="Arial" w:cs="Arial"/>
          <w:b/>
          <w:i/>
          <w:sz w:val="24"/>
          <w:szCs w:val="24"/>
        </w:rPr>
        <w:br/>
      </w:r>
    </w:p>
    <w:p w14:paraId="4FEFFE4E" w14:textId="71D5BADB" w:rsidR="00A60A85" w:rsidRPr="0036567A" w:rsidRDefault="000E6D6B" w:rsidP="00A60A85">
      <w:pPr>
        <w:pStyle w:val="Heading5"/>
        <w:rPr>
          <w:rFonts w:ascii="Arial" w:hAnsi="Arial" w:cs="Arial"/>
          <w:sz w:val="24"/>
          <w:szCs w:val="24"/>
        </w:rPr>
      </w:pPr>
      <w:r w:rsidRPr="0036567A">
        <w:rPr>
          <w:rFonts w:ascii="Arial" w:hAnsi="Arial" w:cs="Arial"/>
          <w:sz w:val="24"/>
          <w:szCs w:val="24"/>
        </w:rPr>
        <w:t xml:space="preserve">Commitment of ESF </w:t>
      </w:r>
      <w:r w:rsidR="00EE0421" w:rsidRPr="0036567A">
        <w:rPr>
          <w:rFonts w:ascii="Arial" w:hAnsi="Arial" w:cs="Arial"/>
          <w:sz w:val="24"/>
          <w:szCs w:val="24"/>
        </w:rPr>
        <w:t xml:space="preserve">in Cumbria is performing well with 89% of the total ESF available committed.  Where funding remains, for example in measures </w:t>
      </w:r>
      <w:r w:rsidR="00285B44" w:rsidRPr="0036567A">
        <w:rPr>
          <w:rFonts w:ascii="Arial" w:hAnsi="Arial" w:cs="Arial"/>
          <w:sz w:val="24"/>
          <w:szCs w:val="24"/>
        </w:rPr>
        <w:t xml:space="preserve">1.2 and 1.4, CLEP is working with local partners and DWP to identify possible projects that deliver LIS objectives </w:t>
      </w:r>
      <w:r w:rsidR="00E77081" w:rsidRPr="0036567A">
        <w:rPr>
          <w:rFonts w:ascii="Arial" w:hAnsi="Arial" w:cs="Arial"/>
          <w:sz w:val="24"/>
          <w:szCs w:val="24"/>
        </w:rPr>
        <w:t xml:space="preserve">and maximise spend.  </w:t>
      </w:r>
    </w:p>
    <w:p w14:paraId="72CAB3C4" w14:textId="77777777" w:rsidR="008B5470" w:rsidRDefault="008B5470" w:rsidP="008B5470">
      <w:pPr>
        <w:pStyle w:val="Heading5"/>
        <w:numPr>
          <w:ilvl w:val="0"/>
          <w:numId w:val="0"/>
        </w:numPr>
        <w:ind w:left="680"/>
        <w:rPr>
          <w:rFonts w:ascii="Arial" w:hAnsi="Arial" w:cs="Arial"/>
          <w:sz w:val="24"/>
          <w:szCs w:val="24"/>
        </w:rPr>
      </w:pPr>
    </w:p>
    <w:tbl>
      <w:tblPr>
        <w:tblStyle w:val="TableGrid10"/>
        <w:tblW w:w="9610" w:type="dxa"/>
        <w:tblInd w:w="137" w:type="dxa"/>
        <w:tblLook w:val="04A0" w:firstRow="1" w:lastRow="0" w:firstColumn="1" w:lastColumn="0" w:noHBand="0" w:noVBand="1"/>
      </w:tblPr>
      <w:tblGrid>
        <w:gridCol w:w="790"/>
        <w:gridCol w:w="1557"/>
        <w:gridCol w:w="1735"/>
        <w:gridCol w:w="1559"/>
        <w:gridCol w:w="3969"/>
      </w:tblGrid>
      <w:tr w:rsidR="00CE3713" w:rsidRPr="00CE3713" w14:paraId="42A9751D" w14:textId="77777777" w:rsidTr="0036567A">
        <w:tc>
          <w:tcPr>
            <w:tcW w:w="9610" w:type="dxa"/>
            <w:gridSpan w:val="5"/>
            <w:tcBorders>
              <w:top w:val="single" w:sz="4" w:space="0" w:color="auto"/>
              <w:left w:val="single" w:sz="4" w:space="0" w:color="auto"/>
              <w:bottom w:val="single" w:sz="4" w:space="0" w:color="auto"/>
              <w:right w:val="single" w:sz="4" w:space="0" w:color="auto"/>
            </w:tcBorders>
            <w:shd w:val="clear" w:color="auto" w:fill="00B0F0"/>
            <w:hideMark/>
          </w:tcPr>
          <w:p w14:paraId="07041515" w14:textId="2AF5A0DE" w:rsidR="00CE3713" w:rsidRPr="00CE3713" w:rsidRDefault="00CE3713" w:rsidP="00CE3713">
            <w:pPr>
              <w:spacing w:after="0"/>
              <w:jc w:val="left"/>
              <w:rPr>
                <w:rFonts w:ascii="Arial" w:eastAsia="Calibri" w:hAnsi="Arial"/>
                <w:b/>
                <w:sz w:val="24"/>
              </w:rPr>
            </w:pPr>
            <w:r w:rsidRPr="00CE3713">
              <w:rPr>
                <w:rFonts w:ascii="Arial" w:eastAsia="Calibri" w:hAnsi="Arial"/>
                <w:b/>
                <w:sz w:val="24"/>
              </w:rPr>
              <w:t xml:space="preserve">Cumbria </w:t>
            </w:r>
          </w:p>
        </w:tc>
      </w:tr>
      <w:tr w:rsidR="00CE3713" w:rsidRPr="00CE3713" w14:paraId="518BA3E6" w14:textId="77777777" w:rsidTr="0036567A">
        <w:tc>
          <w:tcPr>
            <w:tcW w:w="790" w:type="dxa"/>
            <w:tcBorders>
              <w:top w:val="single" w:sz="4" w:space="0" w:color="auto"/>
              <w:left w:val="single" w:sz="4" w:space="0" w:color="auto"/>
              <w:bottom w:val="single" w:sz="4" w:space="0" w:color="auto"/>
              <w:right w:val="single" w:sz="4" w:space="0" w:color="auto"/>
            </w:tcBorders>
            <w:hideMark/>
          </w:tcPr>
          <w:p w14:paraId="79FEAC18" w14:textId="77777777" w:rsidR="00CE3713" w:rsidRPr="00CE3713" w:rsidRDefault="00CE3713" w:rsidP="0036567A">
            <w:pPr>
              <w:spacing w:after="0"/>
              <w:jc w:val="center"/>
              <w:rPr>
                <w:rFonts w:ascii="Arial" w:eastAsia="Calibri" w:hAnsi="Arial"/>
                <w:b/>
                <w:sz w:val="24"/>
              </w:rPr>
            </w:pPr>
            <w:r w:rsidRPr="00CE3713">
              <w:rPr>
                <w:rFonts w:ascii="Arial" w:eastAsia="Calibri" w:hAnsi="Arial"/>
                <w:b/>
                <w:sz w:val="24"/>
              </w:rPr>
              <w:t>IP</w:t>
            </w:r>
          </w:p>
        </w:tc>
        <w:tc>
          <w:tcPr>
            <w:tcW w:w="1557" w:type="dxa"/>
            <w:tcBorders>
              <w:top w:val="single" w:sz="4" w:space="0" w:color="auto"/>
              <w:left w:val="single" w:sz="4" w:space="0" w:color="auto"/>
              <w:bottom w:val="single" w:sz="4" w:space="0" w:color="auto"/>
              <w:right w:val="single" w:sz="4" w:space="0" w:color="auto"/>
            </w:tcBorders>
            <w:hideMark/>
          </w:tcPr>
          <w:p w14:paraId="3A1D0C15" w14:textId="77777777" w:rsidR="00CE3713" w:rsidRPr="00CE3713" w:rsidRDefault="00CE3713" w:rsidP="0036567A">
            <w:pPr>
              <w:spacing w:after="0"/>
              <w:jc w:val="center"/>
              <w:rPr>
                <w:rFonts w:ascii="Arial" w:eastAsia="Calibri" w:hAnsi="Arial"/>
                <w:b/>
                <w:sz w:val="24"/>
              </w:rPr>
            </w:pPr>
            <w:r w:rsidRPr="00CE3713">
              <w:rPr>
                <w:rFonts w:ascii="Arial" w:eastAsia="Calibri" w:hAnsi="Arial"/>
                <w:b/>
                <w:sz w:val="24"/>
              </w:rPr>
              <w:t>Allocation  (€)</w:t>
            </w:r>
          </w:p>
        </w:tc>
        <w:tc>
          <w:tcPr>
            <w:tcW w:w="1735" w:type="dxa"/>
            <w:tcBorders>
              <w:top w:val="single" w:sz="4" w:space="0" w:color="auto"/>
              <w:left w:val="single" w:sz="4" w:space="0" w:color="auto"/>
              <w:bottom w:val="single" w:sz="4" w:space="0" w:color="auto"/>
              <w:right w:val="single" w:sz="4" w:space="0" w:color="auto"/>
            </w:tcBorders>
            <w:hideMark/>
          </w:tcPr>
          <w:p w14:paraId="076542BF" w14:textId="651D0080" w:rsidR="00CE3713" w:rsidRPr="00CE3713" w:rsidRDefault="00CE3713" w:rsidP="0036567A">
            <w:pPr>
              <w:spacing w:after="0"/>
              <w:jc w:val="center"/>
              <w:rPr>
                <w:rFonts w:ascii="Arial" w:eastAsia="Calibri" w:hAnsi="Arial"/>
                <w:b/>
                <w:color w:val="000000"/>
                <w:sz w:val="24"/>
              </w:rPr>
            </w:pPr>
            <w:r w:rsidRPr="00CE3713">
              <w:rPr>
                <w:rFonts w:ascii="Arial" w:eastAsia="Calibri" w:hAnsi="Arial"/>
                <w:b/>
                <w:color w:val="000000"/>
                <w:sz w:val="24"/>
              </w:rPr>
              <w:t>Allocation (£)</w:t>
            </w:r>
          </w:p>
        </w:tc>
        <w:tc>
          <w:tcPr>
            <w:tcW w:w="1559" w:type="dxa"/>
            <w:tcBorders>
              <w:top w:val="single" w:sz="4" w:space="0" w:color="auto"/>
              <w:left w:val="single" w:sz="4" w:space="0" w:color="auto"/>
              <w:bottom w:val="single" w:sz="4" w:space="0" w:color="auto"/>
              <w:right w:val="single" w:sz="4" w:space="0" w:color="auto"/>
            </w:tcBorders>
            <w:hideMark/>
          </w:tcPr>
          <w:p w14:paraId="52BE46F1" w14:textId="77777777" w:rsidR="00CE3713" w:rsidRPr="00CE3713" w:rsidRDefault="00CE3713" w:rsidP="0036567A">
            <w:pPr>
              <w:spacing w:after="0"/>
              <w:jc w:val="center"/>
              <w:rPr>
                <w:rFonts w:ascii="Arial" w:eastAsia="Calibri" w:hAnsi="Arial"/>
                <w:b/>
                <w:color w:val="000000"/>
                <w:sz w:val="24"/>
              </w:rPr>
            </w:pPr>
            <w:r w:rsidRPr="00CE3713">
              <w:rPr>
                <w:rFonts w:ascii="Arial" w:eastAsia="Calibri" w:hAnsi="Arial"/>
                <w:b/>
                <w:color w:val="000000"/>
                <w:sz w:val="24"/>
              </w:rPr>
              <w:t>ESF Committed Spend</w:t>
            </w:r>
          </w:p>
        </w:tc>
        <w:tc>
          <w:tcPr>
            <w:tcW w:w="3969" w:type="dxa"/>
            <w:tcBorders>
              <w:top w:val="single" w:sz="4" w:space="0" w:color="auto"/>
              <w:left w:val="single" w:sz="4" w:space="0" w:color="auto"/>
              <w:bottom w:val="single" w:sz="4" w:space="0" w:color="auto"/>
              <w:right w:val="single" w:sz="4" w:space="0" w:color="auto"/>
            </w:tcBorders>
            <w:hideMark/>
          </w:tcPr>
          <w:p w14:paraId="68B4762C" w14:textId="77777777" w:rsidR="00CE3713" w:rsidRPr="00CE3713" w:rsidRDefault="00CE3713" w:rsidP="0036567A">
            <w:pPr>
              <w:spacing w:after="0"/>
              <w:jc w:val="center"/>
              <w:rPr>
                <w:rFonts w:ascii="Arial" w:eastAsia="Calibri" w:hAnsi="Arial"/>
                <w:b/>
                <w:color w:val="000000"/>
                <w:sz w:val="24"/>
              </w:rPr>
            </w:pPr>
            <w:r w:rsidRPr="00CE3713">
              <w:rPr>
                <w:rFonts w:ascii="Arial" w:eastAsia="Calibri" w:hAnsi="Arial"/>
                <w:b/>
                <w:color w:val="000000"/>
                <w:sz w:val="24"/>
              </w:rPr>
              <w:t>Pipeline</w:t>
            </w:r>
          </w:p>
          <w:p w14:paraId="6E266207" w14:textId="77777777" w:rsidR="00CE3713" w:rsidRPr="00CE3713" w:rsidRDefault="00CE3713" w:rsidP="0036567A">
            <w:pPr>
              <w:spacing w:after="0"/>
              <w:jc w:val="center"/>
              <w:rPr>
                <w:rFonts w:ascii="Arial" w:eastAsia="Calibri" w:hAnsi="Arial"/>
                <w:b/>
                <w:color w:val="000000"/>
                <w:sz w:val="24"/>
              </w:rPr>
            </w:pPr>
            <w:r w:rsidRPr="00CE3713">
              <w:rPr>
                <w:rFonts w:ascii="Arial" w:eastAsia="Calibri" w:hAnsi="Arial"/>
                <w:b/>
                <w:color w:val="000000"/>
                <w:sz w:val="24"/>
              </w:rPr>
              <w:t>(including Project change requests and appraisals)</w:t>
            </w:r>
          </w:p>
        </w:tc>
      </w:tr>
      <w:tr w:rsidR="00CE3713" w:rsidRPr="00CE3713" w14:paraId="701AE126" w14:textId="77777777" w:rsidTr="0036567A">
        <w:tc>
          <w:tcPr>
            <w:tcW w:w="790" w:type="dxa"/>
            <w:tcBorders>
              <w:top w:val="single" w:sz="4" w:space="0" w:color="auto"/>
              <w:left w:val="single" w:sz="4" w:space="0" w:color="auto"/>
              <w:bottom w:val="single" w:sz="4" w:space="0" w:color="auto"/>
              <w:right w:val="single" w:sz="4" w:space="0" w:color="auto"/>
            </w:tcBorders>
            <w:hideMark/>
          </w:tcPr>
          <w:p w14:paraId="751B840C" w14:textId="77777777" w:rsidR="00CE3713" w:rsidRPr="00CE3713" w:rsidRDefault="00CE3713" w:rsidP="00CE3713">
            <w:pPr>
              <w:spacing w:after="0"/>
              <w:jc w:val="left"/>
              <w:rPr>
                <w:rFonts w:ascii="Arial" w:eastAsia="Calibri" w:hAnsi="Arial"/>
                <w:sz w:val="24"/>
              </w:rPr>
            </w:pPr>
            <w:r w:rsidRPr="00CE3713">
              <w:rPr>
                <w:rFonts w:ascii="Arial" w:eastAsia="Calibri" w:hAnsi="Arial"/>
                <w:sz w:val="24"/>
              </w:rPr>
              <w:t>1.1</w:t>
            </w:r>
          </w:p>
        </w:tc>
        <w:tc>
          <w:tcPr>
            <w:tcW w:w="1557" w:type="dxa"/>
            <w:tcBorders>
              <w:top w:val="single" w:sz="4" w:space="0" w:color="auto"/>
              <w:left w:val="single" w:sz="4" w:space="0" w:color="auto"/>
              <w:bottom w:val="single" w:sz="4" w:space="0" w:color="auto"/>
              <w:right w:val="single" w:sz="4" w:space="0" w:color="auto"/>
            </w:tcBorders>
            <w:hideMark/>
          </w:tcPr>
          <w:p w14:paraId="3BA5A3DD" w14:textId="77777777" w:rsidR="00CE3713" w:rsidRPr="00CE3713" w:rsidRDefault="00CE3713" w:rsidP="00CE3713">
            <w:pPr>
              <w:spacing w:after="0"/>
              <w:jc w:val="left"/>
              <w:rPr>
                <w:rFonts w:ascii="Arial" w:eastAsia="Calibri" w:hAnsi="Arial"/>
                <w:sz w:val="24"/>
              </w:rPr>
            </w:pPr>
            <w:r w:rsidRPr="00CE3713">
              <w:rPr>
                <w:rFonts w:ascii="Arial" w:eastAsia="Calibri" w:hAnsi="Arial" w:cs="Arial"/>
                <w:sz w:val="24"/>
              </w:rPr>
              <w:t>€10,879,168</w:t>
            </w:r>
          </w:p>
        </w:tc>
        <w:tc>
          <w:tcPr>
            <w:tcW w:w="1735" w:type="dxa"/>
            <w:tcBorders>
              <w:top w:val="single" w:sz="4" w:space="0" w:color="auto"/>
              <w:left w:val="single" w:sz="4" w:space="0" w:color="auto"/>
              <w:bottom w:val="single" w:sz="4" w:space="0" w:color="auto"/>
              <w:right w:val="single" w:sz="4" w:space="0" w:color="auto"/>
            </w:tcBorders>
            <w:hideMark/>
          </w:tcPr>
          <w:p w14:paraId="5C8C3784" w14:textId="77777777" w:rsidR="00CE3713" w:rsidRPr="00CE3713" w:rsidRDefault="00CE3713" w:rsidP="00CE3713">
            <w:pPr>
              <w:spacing w:after="0"/>
              <w:jc w:val="left"/>
              <w:rPr>
                <w:rFonts w:ascii="Arial" w:eastAsia="Calibri" w:hAnsi="Arial"/>
                <w:color w:val="000000"/>
                <w:sz w:val="24"/>
              </w:rPr>
            </w:pPr>
            <w:r w:rsidRPr="00CE3713">
              <w:rPr>
                <w:rFonts w:ascii="Arial" w:eastAsia="Calibri" w:hAnsi="Arial"/>
                <w:color w:val="000000"/>
                <w:sz w:val="24"/>
              </w:rPr>
              <w:t>£  9,464,876</w:t>
            </w:r>
          </w:p>
        </w:tc>
        <w:tc>
          <w:tcPr>
            <w:tcW w:w="1559" w:type="dxa"/>
            <w:tcBorders>
              <w:top w:val="single" w:sz="4" w:space="0" w:color="auto"/>
              <w:left w:val="single" w:sz="4" w:space="0" w:color="auto"/>
              <w:bottom w:val="single" w:sz="4" w:space="0" w:color="auto"/>
              <w:right w:val="single" w:sz="4" w:space="0" w:color="auto"/>
            </w:tcBorders>
          </w:tcPr>
          <w:p w14:paraId="0A3AA1D1" w14:textId="77777777" w:rsidR="00CE3713" w:rsidRPr="00CE3713" w:rsidRDefault="00CE3713" w:rsidP="00CE3713">
            <w:pPr>
              <w:spacing w:after="0"/>
              <w:jc w:val="left"/>
              <w:rPr>
                <w:rFonts w:ascii="Arial" w:eastAsia="Calibri" w:hAnsi="Arial"/>
                <w:sz w:val="24"/>
              </w:rPr>
            </w:pPr>
            <w:r w:rsidRPr="00CE3713">
              <w:rPr>
                <w:rFonts w:ascii="Arial" w:eastAsia="Calibri" w:hAnsi="Arial"/>
                <w:sz w:val="24"/>
              </w:rPr>
              <w:t>£ 9,483,333</w:t>
            </w:r>
          </w:p>
          <w:p w14:paraId="065E80C2" w14:textId="77777777" w:rsidR="00CE3713" w:rsidRPr="00CE3713" w:rsidRDefault="00CE3713" w:rsidP="00CE3713">
            <w:pPr>
              <w:spacing w:after="0"/>
              <w:jc w:val="left"/>
              <w:rPr>
                <w:rFonts w:ascii="Arial" w:eastAsia="Calibri" w:hAnsi="Arial"/>
                <w:sz w:val="24"/>
              </w:rPr>
            </w:pPr>
          </w:p>
        </w:tc>
        <w:tc>
          <w:tcPr>
            <w:tcW w:w="3969" w:type="dxa"/>
            <w:tcBorders>
              <w:top w:val="single" w:sz="4" w:space="0" w:color="auto"/>
              <w:left w:val="single" w:sz="4" w:space="0" w:color="auto"/>
              <w:bottom w:val="single" w:sz="4" w:space="0" w:color="auto"/>
              <w:right w:val="single" w:sz="4" w:space="0" w:color="auto"/>
            </w:tcBorders>
            <w:hideMark/>
          </w:tcPr>
          <w:p w14:paraId="727E3DEF" w14:textId="77777777" w:rsidR="00CE3713" w:rsidRPr="00CE3713" w:rsidRDefault="00CE3713" w:rsidP="00CE3713">
            <w:pPr>
              <w:spacing w:after="0"/>
              <w:jc w:val="left"/>
              <w:rPr>
                <w:rFonts w:ascii="Arial" w:eastAsia="Calibri" w:hAnsi="Arial"/>
                <w:sz w:val="24"/>
              </w:rPr>
            </w:pPr>
            <w:r w:rsidRPr="00CE3713">
              <w:rPr>
                <w:rFonts w:ascii="Arial" w:eastAsia="Calibri" w:hAnsi="Arial"/>
                <w:sz w:val="24"/>
              </w:rPr>
              <w:t>£1,103,697  DWP</w:t>
            </w:r>
          </w:p>
        </w:tc>
      </w:tr>
      <w:tr w:rsidR="00CE3713" w:rsidRPr="00CE3713" w14:paraId="0FE8DDB6" w14:textId="77777777" w:rsidTr="0036567A">
        <w:tc>
          <w:tcPr>
            <w:tcW w:w="790" w:type="dxa"/>
            <w:tcBorders>
              <w:top w:val="single" w:sz="4" w:space="0" w:color="auto"/>
              <w:left w:val="single" w:sz="4" w:space="0" w:color="auto"/>
              <w:bottom w:val="single" w:sz="4" w:space="0" w:color="auto"/>
              <w:right w:val="single" w:sz="4" w:space="0" w:color="auto"/>
            </w:tcBorders>
            <w:hideMark/>
          </w:tcPr>
          <w:p w14:paraId="523C5B3A" w14:textId="77777777" w:rsidR="00CE3713" w:rsidRPr="00CE3713" w:rsidRDefault="00CE3713" w:rsidP="00CE3713">
            <w:pPr>
              <w:spacing w:after="0"/>
              <w:jc w:val="left"/>
              <w:rPr>
                <w:rFonts w:ascii="Arial" w:eastAsia="Calibri" w:hAnsi="Arial"/>
                <w:sz w:val="24"/>
              </w:rPr>
            </w:pPr>
            <w:r w:rsidRPr="00CE3713">
              <w:rPr>
                <w:rFonts w:ascii="Arial" w:eastAsia="Calibri" w:hAnsi="Arial"/>
                <w:sz w:val="24"/>
              </w:rPr>
              <w:t>1.2</w:t>
            </w:r>
          </w:p>
        </w:tc>
        <w:tc>
          <w:tcPr>
            <w:tcW w:w="1557" w:type="dxa"/>
            <w:tcBorders>
              <w:top w:val="single" w:sz="4" w:space="0" w:color="auto"/>
              <w:left w:val="single" w:sz="4" w:space="0" w:color="auto"/>
              <w:bottom w:val="single" w:sz="4" w:space="0" w:color="auto"/>
              <w:right w:val="single" w:sz="4" w:space="0" w:color="auto"/>
            </w:tcBorders>
            <w:hideMark/>
          </w:tcPr>
          <w:p w14:paraId="7084939D" w14:textId="77777777" w:rsidR="00CE3713" w:rsidRPr="00CE3713" w:rsidRDefault="00CE3713" w:rsidP="00CE3713">
            <w:pPr>
              <w:spacing w:after="0"/>
              <w:jc w:val="left"/>
              <w:rPr>
                <w:rFonts w:ascii="Arial" w:eastAsia="Calibri" w:hAnsi="Arial"/>
                <w:sz w:val="24"/>
              </w:rPr>
            </w:pPr>
            <w:r w:rsidRPr="00CE3713">
              <w:rPr>
                <w:rFonts w:ascii="Arial" w:eastAsia="Calibri" w:hAnsi="Arial" w:cs="Arial"/>
                <w:sz w:val="24"/>
              </w:rPr>
              <w:t>€  2,328,076</w:t>
            </w:r>
          </w:p>
        </w:tc>
        <w:tc>
          <w:tcPr>
            <w:tcW w:w="1735" w:type="dxa"/>
            <w:tcBorders>
              <w:top w:val="single" w:sz="4" w:space="0" w:color="auto"/>
              <w:left w:val="single" w:sz="4" w:space="0" w:color="auto"/>
              <w:bottom w:val="single" w:sz="4" w:space="0" w:color="auto"/>
              <w:right w:val="single" w:sz="4" w:space="0" w:color="auto"/>
            </w:tcBorders>
            <w:hideMark/>
          </w:tcPr>
          <w:p w14:paraId="291FDC2E" w14:textId="77777777" w:rsidR="00CE3713" w:rsidRPr="00CE3713" w:rsidRDefault="00CE3713" w:rsidP="00CE3713">
            <w:pPr>
              <w:spacing w:after="0"/>
              <w:jc w:val="left"/>
              <w:rPr>
                <w:rFonts w:ascii="Arial" w:eastAsia="Calibri" w:hAnsi="Arial"/>
                <w:color w:val="000000"/>
                <w:sz w:val="24"/>
              </w:rPr>
            </w:pPr>
            <w:r w:rsidRPr="00CE3713">
              <w:rPr>
                <w:rFonts w:ascii="Arial" w:eastAsia="Calibri" w:hAnsi="Arial"/>
                <w:color w:val="000000"/>
                <w:sz w:val="24"/>
              </w:rPr>
              <w:t>£  2,025,426</w:t>
            </w:r>
          </w:p>
        </w:tc>
        <w:tc>
          <w:tcPr>
            <w:tcW w:w="1559" w:type="dxa"/>
            <w:tcBorders>
              <w:top w:val="single" w:sz="4" w:space="0" w:color="auto"/>
              <w:left w:val="single" w:sz="4" w:space="0" w:color="auto"/>
              <w:bottom w:val="single" w:sz="4" w:space="0" w:color="auto"/>
              <w:right w:val="single" w:sz="4" w:space="0" w:color="auto"/>
            </w:tcBorders>
            <w:hideMark/>
          </w:tcPr>
          <w:p w14:paraId="464EAB26" w14:textId="77777777" w:rsidR="00CE3713" w:rsidRPr="00CE3713" w:rsidRDefault="00CE3713" w:rsidP="00CE3713">
            <w:pPr>
              <w:spacing w:after="0"/>
              <w:jc w:val="left"/>
              <w:rPr>
                <w:rFonts w:ascii="Arial" w:eastAsia="Calibri" w:hAnsi="Arial"/>
                <w:sz w:val="24"/>
              </w:rPr>
            </w:pPr>
            <w:r w:rsidRPr="00CE3713">
              <w:rPr>
                <w:rFonts w:ascii="Arial" w:eastAsia="Calibri" w:hAnsi="Arial"/>
                <w:sz w:val="24"/>
              </w:rPr>
              <w:t>£  1,200,000</w:t>
            </w:r>
          </w:p>
        </w:tc>
        <w:tc>
          <w:tcPr>
            <w:tcW w:w="3969" w:type="dxa"/>
            <w:tcBorders>
              <w:top w:val="single" w:sz="4" w:space="0" w:color="auto"/>
              <w:left w:val="single" w:sz="4" w:space="0" w:color="auto"/>
              <w:bottom w:val="single" w:sz="4" w:space="0" w:color="auto"/>
              <w:right w:val="single" w:sz="4" w:space="0" w:color="auto"/>
            </w:tcBorders>
          </w:tcPr>
          <w:p w14:paraId="5308B3DC" w14:textId="77777777" w:rsidR="00CE3713" w:rsidRPr="00CE3713" w:rsidRDefault="00CE3713" w:rsidP="00CE3713">
            <w:pPr>
              <w:spacing w:after="0"/>
              <w:jc w:val="left"/>
              <w:rPr>
                <w:rFonts w:ascii="Arial" w:eastAsia="Calibri" w:hAnsi="Arial"/>
                <w:b/>
                <w:color w:val="FF0000"/>
                <w:sz w:val="24"/>
              </w:rPr>
            </w:pPr>
          </w:p>
        </w:tc>
      </w:tr>
      <w:tr w:rsidR="00CE3713" w:rsidRPr="00CE3713" w14:paraId="29A37DB0" w14:textId="77777777" w:rsidTr="0036567A">
        <w:tc>
          <w:tcPr>
            <w:tcW w:w="790" w:type="dxa"/>
            <w:tcBorders>
              <w:top w:val="single" w:sz="4" w:space="0" w:color="auto"/>
              <w:left w:val="single" w:sz="4" w:space="0" w:color="auto"/>
              <w:bottom w:val="single" w:sz="4" w:space="0" w:color="auto"/>
              <w:right w:val="single" w:sz="4" w:space="0" w:color="auto"/>
            </w:tcBorders>
            <w:hideMark/>
          </w:tcPr>
          <w:p w14:paraId="738E39F9" w14:textId="77777777" w:rsidR="00CE3713" w:rsidRPr="00CE3713" w:rsidRDefault="00CE3713" w:rsidP="00CE3713">
            <w:pPr>
              <w:spacing w:after="0"/>
              <w:jc w:val="left"/>
              <w:rPr>
                <w:rFonts w:ascii="Arial" w:eastAsia="Calibri" w:hAnsi="Arial"/>
                <w:sz w:val="24"/>
              </w:rPr>
            </w:pPr>
            <w:r w:rsidRPr="00CE3713">
              <w:rPr>
                <w:rFonts w:ascii="Arial" w:eastAsia="Calibri" w:hAnsi="Arial"/>
                <w:sz w:val="24"/>
              </w:rPr>
              <w:t>1.4</w:t>
            </w:r>
          </w:p>
        </w:tc>
        <w:tc>
          <w:tcPr>
            <w:tcW w:w="1557" w:type="dxa"/>
            <w:tcBorders>
              <w:top w:val="single" w:sz="4" w:space="0" w:color="auto"/>
              <w:left w:val="single" w:sz="4" w:space="0" w:color="auto"/>
              <w:bottom w:val="single" w:sz="4" w:space="0" w:color="auto"/>
              <w:right w:val="single" w:sz="4" w:space="0" w:color="auto"/>
            </w:tcBorders>
            <w:hideMark/>
          </w:tcPr>
          <w:p w14:paraId="325301C4" w14:textId="77777777" w:rsidR="00CE3713" w:rsidRPr="00CE3713" w:rsidRDefault="00CE3713" w:rsidP="00CE3713">
            <w:pPr>
              <w:spacing w:after="0"/>
              <w:jc w:val="left"/>
              <w:rPr>
                <w:rFonts w:ascii="Arial" w:eastAsia="Calibri" w:hAnsi="Arial"/>
                <w:sz w:val="24"/>
              </w:rPr>
            </w:pPr>
            <w:r w:rsidRPr="00CE3713">
              <w:rPr>
                <w:rFonts w:ascii="Arial" w:eastAsia="Calibri" w:hAnsi="Arial" w:cs="Arial"/>
                <w:sz w:val="24"/>
              </w:rPr>
              <w:t>€  3,826,631</w:t>
            </w:r>
          </w:p>
        </w:tc>
        <w:tc>
          <w:tcPr>
            <w:tcW w:w="1735" w:type="dxa"/>
            <w:tcBorders>
              <w:top w:val="single" w:sz="4" w:space="0" w:color="auto"/>
              <w:left w:val="single" w:sz="4" w:space="0" w:color="auto"/>
              <w:bottom w:val="single" w:sz="4" w:space="0" w:color="auto"/>
              <w:right w:val="single" w:sz="4" w:space="0" w:color="auto"/>
            </w:tcBorders>
            <w:hideMark/>
          </w:tcPr>
          <w:p w14:paraId="35777CDE" w14:textId="77777777" w:rsidR="00CE3713" w:rsidRPr="00CE3713" w:rsidRDefault="00CE3713" w:rsidP="00CE3713">
            <w:pPr>
              <w:spacing w:after="0"/>
              <w:jc w:val="left"/>
              <w:rPr>
                <w:rFonts w:ascii="Arial" w:eastAsia="Calibri" w:hAnsi="Arial"/>
                <w:color w:val="000000"/>
                <w:sz w:val="24"/>
              </w:rPr>
            </w:pPr>
            <w:r w:rsidRPr="00CE3713">
              <w:rPr>
                <w:rFonts w:ascii="Arial" w:eastAsia="Calibri" w:hAnsi="Arial"/>
                <w:color w:val="000000"/>
                <w:sz w:val="24"/>
              </w:rPr>
              <w:t>£  3,329,169</w:t>
            </w:r>
          </w:p>
        </w:tc>
        <w:tc>
          <w:tcPr>
            <w:tcW w:w="1559" w:type="dxa"/>
            <w:tcBorders>
              <w:top w:val="single" w:sz="4" w:space="0" w:color="auto"/>
              <w:left w:val="single" w:sz="4" w:space="0" w:color="auto"/>
              <w:bottom w:val="single" w:sz="4" w:space="0" w:color="auto"/>
              <w:right w:val="single" w:sz="4" w:space="0" w:color="auto"/>
            </w:tcBorders>
            <w:hideMark/>
          </w:tcPr>
          <w:p w14:paraId="43FE211F" w14:textId="77777777" w:rsidR="00CE3713" w:rsidRPr="00CE3713" w:rsidRDefault="00CE3713" w:rsidP="00CE3713">
            <w:pPr>
              <w:spacing w:after="0"/>
              <w:jc w:val="left"/>
              <w:rPr>
                <w:rFonts w:ascii="Arial" w:eastAsia="Calibri" w:hAnsi="Arial"/>
                <w:sz w:val="24"/>
              </w:rPr>
            </w:pPr>
            <w:r w:rsidRPr="00CE3713">
              <w:rPr>
                <w:rFonts w:ascii="Arial" w:eastAsia="Calibri" w:hAnsi="Arial"/>
                <w:sz w:val="24"/>
              </w:rPr>
              <w:t>£  2,500,000</w:t>
            </w:r>
          </w:p>
        </w:tc>
        <w:tc>
          <w:tcPr>
            <w:tcW w:w="3969" w:type="dxa"/>
            <w:tcBorders>
              <w:top w:val="single" w:sz="4" w:space="0" w:color="auto"/>
              <w:left w:val="single" w:sz="4" w:space="0" w:color="auto"/>
              <w:bottom w:val="single" w:sz="4" w:space="0" w:color="auto"/>
              <w:right w:val="single" w:sz="4" w:space="0" w:color="auto"/>
            </w:tcBorders>
            <w:hideMark/>
          </w:tcPr>
          <w:p w14:paraId="07497F40" w14:textId="77777777" w:rsidR="00CE3713" w:rsidRPr="00CE3713" w:rsidRDefault="00CE3713" w:rsidP="00CE3713">
            <w:pPr>
              <w:spacing w:after="0"/>
              <w:jc w:val="left"/>
              <w:rPr>
                <w:rFonts w:ascii="Arial" w:eastAsia="Calibri" w:hAnsi="Arial"/>
                <w:color w:val="FF0000"/>
                <w:sz w:val="24"/>
              </w:rPr>
            </w:pPr>
            <w:r w:rsidRPr="00CE3713">
              <w:rPr>
                <w:rFonts w:ascii="Arial" w:eastAsia="Calibri" w:hAnsi="Arial"/>
                <w:sz w:val="24"/>
              </w:rPr>
              <w:t>£   539,116  BLF</w:t>
            </w:r>
          </w:p>
        </w:tc>
      </w:tr>
      <w:tr w:rsidR="00CE3713" w:rsidRPr="00CE3713" w14:paraId="7C2B724C" w14:textId="77777777" w:rsidTr="0036567A">
        <w:tc>
          <w:tcPr>
            <w:tcW w:w="790" w:type="dxa"/>
            <w:tcBorders>
              <w:top w:val="single" w:sz="4" w:space="0" w:color="auto"/>
              <w:left w:val="single" w:sz="4" w:space="0" w:color="auto"/>
              <w:bottom w:val="single" w:sz="4" w:space="0" w:color="auto"/>
              <w:right w:val="single" w:sz="4" w:space="0" w:color="auto"/>
            </w:tcBorders>
            <w:hideMark/>
          </w:tcPr>
          <w:p w14:paraId="00198EB3" w14:textId="77777777" w:rsidR="00CE3713" w:rsidRPr="00CE3713" w:rsidRDefault="00CE3713" w:rsidP="00CE3713">
            <w:pPr>
              <w:spacing w:after="0"/>
              <w:jc w:val="left"/>
              <w:rPr>
                <w:rFonts w:ascii="Arial" w:eastAsia="Calibri" w:hAnsi="Arial"/>
                <w:sz w:val="24"/>
              </w:rPr>
            </w:pPr>
            <w:r w:rsidRPr="00CE3713">
              <w:rPr>
                <w:rFonts w:ascii="Arial" w:eastAsia="Calibri" w:hAnsi="Arial"/>
                <w:sz w:val="24"/>
              </w:rPr>
              <w:t>2.1</w:t>
            </w:r>
          </w:p>
        </w:tc>
        <w:tc>
          <w:tcPr>
            <w:tcW w:w="1557" w:type="dxa"/>
            <w:tcBorders>
              <w:top w:val="single" w:sz="4" w:space="0" w:color="auto"/>
              <w:left w:val="single" w:sz="4" w:space="0" w:color="auto"/>
              <w:bottom w:val="single" w:sz="4" w:space="0" w:color="auto"/>
              <w:right w:val="single" w:sz="4" w:space="0" w:color="auto"/>
            </w:tcBorders>
            <w:hideMark/>
          </w:tcPr>
          <w:p w14:paraId="6F84209F" w14:textId="77777777" w:rsidR="00CE3713" w:rsidRPr="00CE3713" w:rsidRDefault="00CE3713" w:rsidP="00CE3713">
            <w:pPr>
              <w:spacing w:after="0"/>
              <w:jc w:val="left"/>
              <w:rPr>
                <w:rFonts w:ascii="Arial" w:eastAsia="Calibri" w:hAnsi="Arial"/>
                <w:sz w:val="24"/>
              </w:rPr>
            </w:pPr>
            <w:r w:rsidRPr="00CE3713">
              <w:rPr>
                <w:rFonts w:ascii="Arial" w:eastAsia="Calibri" w:hAnsi="Arial" w:cs="Arial"/>
                <w:sz w:val="24"/>
              </w:rPr>
              <w:t>€18,655,332</w:t>
            </w:r>
          </w:p>
        </w:tc>
        <w:tc>
          <w:tcPr>
            <w:tcW w:w="1735" w:type="dxa"/>
            <w:tcBorders>
              <w:top w:val="single" w:sz="4" w:space="0" w:color="auto"/>
              <w:left w:val="single" w:sz="4" w:space="0" w:color="auto"/>
              <w:bottom w:val="single" w:sz="4" w:space="0" w:color="auto"/>
              <w:right w:val="single" w:sz="4" w:space="0" w:color="auto"/>
            </w:tcBorders>
            <w:hideMark/>
          </w:tcPr>
          <w:p w14:paraId="3AE46B6D" w14:textId="77777777" w:rsidR="00CE3713" w:rsidRPr="00CE3713" w:rsidRDefault="00CE3713" w:rsidP="00CE3713">
            <w:pPr>
              <w:spacing w:after="0"/>
              <w:jc w:val="left"/>
              <w:rPr>
                <w:rFonts w:ascii="Arial" w:eastAsia="Calibri" w:hAnsi="Arial"/>
                <w:color w:val="000000"/>
                <w:sz w:val="24"/>
              </w:rPr>
            </w:pPr>
            <w:r w:rsidRPr="00CE3713">
              <w:rPr>
                <w:rFonts w:ascii="Arial" w:eastAsia="Calibri" w:hAnsi="Arial"/>
                <w:color w:val="000000"/>
                <w:sz w:val="24"/>
              </w:rPr>
              <w:t>£16,230,138</w:t>
            </w:r>
          </w:p>
        </w:tc>
        <w:tc>
          <w:tcPr>
            <w:tcW w:w="1559" w:type="dxa"/>
            <w:tcBorders>
              <w:top w:val="single" w:sz="4" w:space="0" w:color="auto"/>
              <w:left w:val="single" w:sz="4" w:space="0" w:color="auto"/>
              <w:bottom w:val="single" w:sz="4" w:space="0" w:color="auto"/>
              <w:right w:val="single" w:sz="4" w:space="0" w:color="auto"/>
            </w:tcBorders>
            <w:hideMark/>
          </w:tcPr>
          <w:p w14:paraId="67F9F8DB" w14:textId="77777777" w:rsidR="00CE3713" w:rsidRPr="00CE3713" w:rsidRDefault="00CE3713" w:rsidP="00CE3713">
            <w:pPr>
              <w:spacing w:after="0"/>
              <w:jc w:val="left"/>
              <w:rPr>
                <w:rFonts w:ascii="Arial" w:eastAsia="Calibri" w:hAnsi="Arial"/>
                <w:sz w:val="24"/>
              </w:rPr>
            </w:pPr>
            <w:r w:rsidRPr="00CE3713">
              <w:rPr>
                <w:rFonts w:ascii="Arial" w:eastAsia="Calibri" w:hAnsi="Arial"/>
                <w:sz w:val="24"/>
              </w:rPr>
              <w:t>£16,424,750</w:t>
            </w:r>
          </w:p>
        </w:tc>
        <w:tc>
          <w:tcPr>
            <w:tcW w:w="3969" w:type="dxa"/>
            <w:tcBorders>
              <w:top w:val="single" w:sz="4" w:space="0" w:color="auto"/>
              <w:left w:val="single" w:sz="4" w:space="0" w:color="auto"/>
              <w:bottom w:val="single" w:sz="4" w:space="0" w:color="auto"/>
              <w:right w:val="single" w:sz="4" w:space="0" w:color="auto"/>
            </w:tcBorders>
            <w:hideMark/>
          </w:tcPr>
          <w:p w14:paraId="7BCCD59A" w14:textId="77777777" w:rsidR="00CE3713" w:rsidRPr="00CE3713" w:rsidRDefault="00CE3713" w:rsidP="00CE3713">
            <w:pPr>
              <w:spacing w:after="0"/>
              <w:jc w:val="left"/>
              <w:rPr>
                <w:rFonts w:ascii="Arial" w:eastAsia="Calibri" w:hAnsi="Arial"/>
                <w:color w:val="FF0000"/>
                <w:sz w:val="24"/>
              </w:rPr>
            </w:pPr>
            <w:r w:rsidRPr="00CE3713">
              <w:rPr>
                <w:rFonts w:ascii="Arial" w:eastAsia="Calibri" w:hAnsi="Arial"/>
                <w:color w:val="FF0000"/>
                <w:sz w:val="24"/>
              </w:rPr>
              <w:t xml:space="preserve">  </w:t>
            </w:r>
          </w:p>
        </w:tc>
      </w:tr>
      <w:tr w:rsidR="00CE3713" w:rsidRPr="00CE3713" w14:paraId="49F3CD3C" w14:textId="77777777" w:rsidTr="0036567A">
        <w:tc>
          <w:tcPr>
            <w:tcW w:w="790" w:type="dxa"/>
            <w:tcBorders>
              <w:top w:val="single" w:sz="4" w:space="0" w:color="auto"/>
              <w:left w:val="single" w:sz="4" w:space="0" w:color="auto"/>
              <w:bottom w:val="single" w:sz="4" w:space="0" w:color="auto"/>
              <w:right w:val="single" w:sz="4" w:space="0" w:color="auto"/>
            </w:tcBorders>
            <w:hideMark/>
          </w:tcPr>
          <w:p w14:paraId="29CCC978" w14:textId="77777777" w:rsidR="00CE3713" w:rsidRPr="00CE3713" w:rsidRDefault="00CE3713" w:rsidP="00CE3713">
            <w:pPr>
              <w:spacing w:after="0"/>
              <w:jc w:val="left"/>
              <w:rPr>
                <w:rFonts w:ascii="Arial" w:eastAsia="Calibri" w:hAnsi="Arial"/>
                <w:sz w:val="24"/>
              </w:rPr>
            </w:pPr>
            <w:r w:rsidRPr="00CE3713">
              <w:rPr>
                <w:rFonts w:ascii="Arial" w:eastAsia="Calibri" w:hAnsi="Arial"/>
                <w:sz w:val="24"/>
              </w:rPr>
              <w:t>2.2</w:t>
            </w:r>
          </w:p>
        </w:tc>
        <w:tc>
          <w:tcPr>
            <w:tcW w:w="1557" w:type="dxa"/>
            <w:tcBorders>
              <w:top w:val="single" w:sz="4" w:space="0" w:color="auto"/>
              <w:left w:val="single" w:sz="4" w:space="0" w:color="auto"/>
              <w:bottom w:val="single" w:sz="4" w:space="0" w:color="auto"/>
              <w:right w:val="single" w:sz="4" w:space="0" w:color="auto"/>
            </w:tcBorders>
            <w:hideMark/>
          </w:tcPr>
          <w:p w14:paraId="3059BDD0" w14:textId="77777777" w:rsidR="00CE3713" w:rsidRPr="00CE3713" w:rsidRDefault="00CE3713" w:rsidP="00CE3713">
            <w:pPr>
              <w:spacing w:after="0"/>
              <w:jc w:val="left"/>
              <w:rPr>
                <w:rFonts w:ascii="Arial" w:eastAsia="Calibri" w:hAnsi="Arial"/>
                <w:sz w:val="24"/>
              </w:rPr>
            </w:pPr>
            <w:r w:rsidRPr="00CE3713">
              <w:rPr>
                <w:rFonts w:ascii="Arial" w:eastAsia="Calibri" w:hAnsi="Arial" w:cs="Arial"/>
                <w:sz w:val="24"/>
              </w:rPr>
              <w:t>€  2,628,137</w:t>
            </w:r>
          </w:p>
        </w:tc>
        <w:tc>
          <w:tcPr>
            <w:tcW w:w="1735" w:type="dxa"/>
            <w:tcBorders>
              <w:top w:val="single" w:sz="4" w:space="0" w:color="auto"/>
              <w:left w:val="single" w:sz="4" w:space="0" w:color="auto"/>
              <w:bottom w:val="single" w:sz="4" w:space="0" w:color="auto"/>
              <w:right w:val="single" w:sz="4" w:space="0" w:color="auto"/>
            </w:tcBorders>
            <w:hideMark/>
          </w:tcPr>
          <w:p w14:paraId="7DD39765" w14:textId="77777777" w:rsidR="00CE3713" w:rsidRPr="00CE3713" w:rsidRDefault="00CE3713" w:rsidP="00CE3713">
            <w:pPr>
              <w:spacing w:after="0"/>
              <w:jc w:val="left"/>
              <w:rPr>
                <w:rFonts w:ascii="Arial" w:eastAsia="Calibri" w:hAnsi="Arial"/>
                <w:color w:val="000000"/>
                <w:sz w:val="24"/>
              </w:rPr>
            </w:pPr>
            <w:r w:rsidRPr="00CE3713">
              <w:rPr>
                <w:rFonts w:ascii="Arial" w:eastAsia="Calibri" w:hAnsi="Arial"/>
                <w:color w:val="000000"/>
                <w:sz w:val="24"/>
              </w:rPr>
              <w:t>£  2,286,479</w:t>
            </w:r>
          </w:p>
        </w:tc>
        <w:tc>
          <w:tcPr>
            <w:tcW w:w="1559" w:type="dxa"/>
            <w:tcBorders>
              <w:top w:val="single" w:sz="4" w:space="0" w:color="auto"/>
              <w:left w:val="single" w:sz="4" w:space="0" w:color="auto"/>
              <w:bottom w:val="single" w:sz="4" w:space="0" w:color="auto"/>
              <w:right w:val="single" w:sz="4" w:space="0" w:color="auto"/>
            </w:tcBorders>
            <w:hideMark/>
          </w:tcPr>
          <w:p w14:paraId="3963FECB" w14:textId="77777777" w:rsidR="00CE3713" w:rsidRPr="00CE3713" w:rsidRDefault="00CE3713" w:rsidP="00CE3713">
            <w:pPr>
              <w:spacing w:after="0"/>
              <w:jc w:val="left"/>
              <w:rPr>
                <w:rFonts w:ascii="Arial" w:eastAsia="Calibri" w:hAnsi="Arial"/>
                <w:sz w:val="24"/>
              </w:rPr>
            </w:pPr>
            <w:r w:rsidRPr="00CE3713">
              <w:rPr>
                <w:rFonts w:ascii="Arial" w:eastAsia="Calibri" w:hAnsi="Arial"/>
                <w:sz w:val="24"/>
              </w:rPr>
              <w:t>£                0</w:t>
            </w:r>
          </w:p>
        </w:tc>
        <w:tc>
          <w:tcPr>
            <w:tcW w:w="3969" w:type="dxa"/>
            <w:tcBorders>
              <w:top w:val="single" w:sz="4" w:space="0" w:color="auto"/>
              <w:left w:val="single" w:sz="4" w:space="0" w:color="auto"/>
              <w:bottom w:val="single" w:sz="4" w:space="0" w:color="auto"/>
              <w:right w:val="single" w:sz="4" w:space="0" w:color="auto"/>
            </w:tcBorders>
            <w:hideMark/>
          </w:tcPr>
          <w:p w14:paraId="4C328A63" w14:textId="77777777" w:rsidR="00CE3713" w:rsidRPr="00CE3713" w:rsidRDefault="00CE3713" w:rsidP="00CE3713">
            <w:pPr>
              <w:spacing w:after="0"/>
              <w:jc w:val="left"/>
              <w:rPr>
                <w:rFonts w:ascii="Arial" w:eastAsia="Calibri" w:hAnsi="Arial"/>
                <w:b/>
                <w:color w:val="FF0000"/>
                <w:sz w:val="24"/>
              </w:rPr>
            </w:pPr>
            <w:r w:rsidRPr="00CE3713">
              <w:rPr>
                <w:rFonts w:ascii="Arial" w:eastAsia="Calibri" w:hAnsi="Arial"/>
                <w:sz w:val="24"/>
              </w:rPr>
              <w:t>£</w:t>
            </w:r>
            <w:r w:rsidRPr="00CE3713">
              <w:rPr>
                <w:rFonts w:ascii="Arial" w:eastAsia="Calibri" w:hAnsi="Arial" w:cs="Arial"/>
                <w:sz w:val="24"/>
                <w:szCs w:val="24"/>
              </w:rPr>
              <w:t>2,284,459  Direct</w:t>
            </w:r>
          </w:p>
        </w:tc>
      </w:tr>
      <w:tr w:rsidR="00CE3713" w:rsidRPr="00CE3713" w14:paraId="532E1C04" w14:textId="77777777" w:rsidTr="0036567A">
        <w:tc>
          <w:tcPr>
            <w:tcW w:w="790" w:type="dxa"/>
            <w:tcBorders>
              <w:top w:val="single" w:sz="4" w:space="0" w:color="auto"/>
              <w:left w:val="single" w:sz="4" w:space="0" w:color="auto"/>
              <w:bottom w:val="single" w:sz="4" w:space="0" w:color="auto"/>
              <w:right w:val="single" w:sz="4" w:space="0" w:color="auto"/>
            </w:tcBorders>
            <w:hideMark/>
          </w:tcPr>
          <w:p w14:paraId="29154566" w14:textId="77777777" w:rsidR="00CE3713" w:rsidRPr="00CE3713" w:rsidRDefault="00CE3713" w:rsidP="00CE3713">
            <w:pPr>
              <w:spacing w:after="0"/>
              <w:jc w:val="left"/>
              <w:rPr>
                <w:rFonts w:ascii="Arial" w:eastAsia="Calibri" w:hAnsi="Arial"/>
                <w:sz w:val="24"/>
              </w:rPr>
            </w:pPr>
            <w:r w:rsidRPr="00CE3713">
              <w:rPr>
                <w:rFonts w:ascii="Arial" w:eastAsia="Calibri" w:hAnsi="Arial"/>
                <w:sz w:val="24"/>
              </w:rPr>
              <w:t>Total</w:t>
            </w:r>
          </w:p>
        </w:tc>
        <w:tc>
          <w:tcPr>
            <w:tcW w:w="1557" w:type="dxa"/>
            <w:tcBorders>
              <w:top w:val="single" w:sz="4" w:space="0" w:color="auto"/>
              <w:left w:val="single" w:sz="4" w:space="0" w:color="auto"/>
              <w:bottom w:val="single" w:sz="4" w:space="0" w:color="auto"/>
              <w:right w:val="single" w:sz="4" w:space="0" w:color="auto"/>
            </w:tcBorders>
            <w:hideMark/>
          </w:tcPr>
          <w:p w14:paraId="30142249" w14:textId="77777777" w:rsidR="00CE3713" w:rsidRPr="00CE3713" w:rsidRDefault="00CE3713" w:rsidP="00CE3713">
            <w:pPr>
              <w:spacing w:after="0"/>
              <w:jc w:val="left"/>
              <w:rPr>
                <w:rFonts w:ascii="Arial" w:eastAsia="Calibri" w:hAnsi="Arial"/>
                <w:color w:val="FF0000"/>
                <w:sz w:val="24"/>
              </w:rPr>
            </w:pPr>
            <w:r w:rsidRPr="00CE3713">
              <w:rPr>
                <w:rFonts w:ascii="Arial" w:eastAsia="Calibri" w:hAnsi="Arial" w:cs="Arial"/>
                <w:sz w:val="24"/>
              </w:rPr>
              <w:t>€38,317,344</w:t>
            </w:r>
          </w:p>
        </w:tc>
        <w:tc>
          <w:tcPr>
            <w:tcW w:w="1735" w:type="dxa"/>
            <w:tcBorders>
              <w:top w:val="single" w:sz="4" w:space="0" w:color="auto"/>
              <w:left w:val="single" w:sz="4" w:space="0" w:color="auto"/>
              <w:bottom w:val="single" w:sz="4" w:space="0" w:color="auto"/>
              <w:right w:val="single" w:sz="4" w:space="0" w:color="auto"/>
            </w:tcBorders>
            <w:hideMark/>
          </w:tcPr>
          <w:p w14:paraId="0F742842" w14:textId="77777777" w:rsidR="00CE3713" w:rsidRPr="00CE3713" w:rsidRDefault="00CE3713" w:rsidP="00CE3713">
            <w:pPr>
              <w:spacing w:after="0"/>
              <w:jc w:val="left"/>
              <w:rPr>
                <w:rFonts w:ascii="Arial" w:eastAsia="Calibri" w:hAnsi="Arial"/>
                <w:color w:val="000000"/>
                <w:sz w:val="24"/>
              </w:rPr>
            </w:pPr>
            <w:r w:rsidRPr="00CE3713">
              <w:rPr>
                <w:rFonts w:ascii="Arial" w:eastAsia="Calibri" w:hAnsi="Arial"/>
                <w:color w:val="000000"/>
                <w:sz w:val="24"/>
              </w:rPr>
              <w:t>£33,336,089</w:t>
            </w:r>
          </w:p>
        </w:tc>
        <w:tc>
          <w:tcPr>
            <w:tcW w:w="1559" w:type="dxa"/>
            <w:tcBorders>
              <w:top w:val="single" w:sz="4" w:space="0" w:color="auto"/>
              <w:left w:val="single" w:sz="4" w:space="0" w:color="auto"/>
              <w:bottom w:val="single" w:sz="4" w:space="0" w:color="auto"/>
              <w:right w:val="single" w:sz="4" w:space="0" w:color="auto"/>
            </w:tcBorders>
            <w:hideMark/>
          </w:tcPr>
          <w:p w14:paraId="7639285E" w14:textId="77777777" w:rsidR="00CE3713" w:rsidRPr="00CE3713" w:rsidRDefault="00CE3713" w:rsidP="00CE3713">
            <w:pPr>
              <w:spacing w:after="0"/>
              <w:jc w:val="left"/>
              <w:rPr>
                <w:rFonts w:ascii="Arial" w:eastAsia="Calibri" w:hAnsi="Arial"/>
                <w:sz w:val="24"/>
              </w:rPr>
            </w:pPr>
            <w:r w:rsidRPr="00CE3713">
              <w:rPr>
                <w:rFonts w:ascii="Arial" w:eastAsia="Calibri" w:hAnsi="Arial"/>
                <w:sz w:val="24"/>
              </w:rPr>
              <w:t>£29,608,083</w:t>
            </w:r>
          </w:p>
        </w:tc>
        <w:tc>
          <w:tcPr>
            <w:tcW w:w="3969" w:type="dxa"/>
            <w:tcBorders>
              <w:top w:val="single" w:sz="4" w:space="0" w:color="auto"/>
              <w:left w:val="single" w:sz="4" w:space="0" w:color="auto"/>
              <w:bottom w:val="single" w:sz="4" w:space="0" w:color="auto"/>
              <w:right w:val="single" w:sz="4" w:space="0" w:color="auto"/>
            </w:tcBorders>
            <w:hideMark/>
          </w:tcPr>
          <w:p w14:paraId="09CE876D" w14:textId="77777777" w:rsidR="00CE3713" w:rsidRPr="00CE3713" w:rsidRDefault="00CE3713" w:rsidP="00CE3713">
            <w:pPr>
              <w:spacing w:after="0"/>
              <w:jc w:val="left"/>
              <w:rPr>
                <w:rFonts w:ascii="Arial" w:eastAsia="Calibri" w:hAnsi="Arial"/>
                <w:color w:val="FF0000"/>
                <w:sz w:val="24"/>
              </w:rPr>
            </w:pPr>
            <w:r w:rsidRPr="00CE3713">
              <w:rPr>
                <w:rFonts w:ascii="Arial" w:eastAsia="Calibri" w:hAnsi="Arial"/>
                <w:sz w:val="24"/>
              </w:rPr>
              <w:t>£3,927,272</w:t>
            </w:r>
          </w:p>
        </w:tc>
      </w:tr>
    </w:tbl>
    <w:p w14:paraId="2DD555C0" w14:textId="77777777" w:rsidR="00CE3713" w:rsidRDefault="00CE3713" w:rsidP="008B5470">
      <w:pPr>
        <w:pStyle w:val="Heading5"/>
        <w:numPr>
          <w:ilvl w:val="0"/>
          <w:numId w:val="0"/>
        </w:numPr>
        <w:ind w:left="680"/>
        <w:rPr>
          <w:rFonts w:ascii="Arial" w:hAnsi="Arial" w:cs="Arial"/>
          <w:sz w:val="24"/>
          <w:szCs w:val="24"/>
        </w:rPr>
      </w:pPr>
    </w:p>
    <w:p w14:paraId="39A50F47" w14:textId="74A234C5" w:rsidR="004C584F" w:rsidRPr="0036567A" w:rsidRDefault="00A60A85" w:rsidP="0036567A">
      <w:pPr>
        <w:pStyle w:val="Heading5"/>
        <w:jc w:val="left"/>
        <w:rPr>
          <w:rFonts w:ascii="Arial" w:hAnsi="Arial" w:cs="Arial"/>
          <w:sz w:val="24"/>
          <w:szCs w:val="24"/>
        </w:rPr>
      </w:pPr>
      <w:r w:rsidRPr="0036567A">
        <w:rPr>
          <w:rFonts w:ascii="Arial" w:hAnsi="Arial" w:cs="Arial"/>
          <w:sz w:val="24"/>
          <w:szCs w:val="24"/>
        </w:rPr>
        <w:t xml:space="preserve">There has been generally good progress in commitment of delivery of </w:t>
      </w:r>
      <w:r w:rsidR="008B5470" w:rsidRPr="0036567A">
        <w:rPr>
          <w:rFonts w:ascii="Arial" w:hAnsi="Arial" w:cs="Arial"/>
          <w:sz w:val="24"/>
          <w:szCs w:val="24"/>
        </w:rPr>
        <w:t xml:space="preserve">the </w:t>
      </w:r>
      <w:r w:rsidRPr="0036567A">
        <w:rPr>
          <w:rFonts w:ascii="Arial" w:hAnsi="Arial" w:cs="Arial"/>
          <w:sz w:val="24"/>
          <w:szCs w:val="24"/>
        </w:rPr>
        <w:t>number of participants compared to targets</w:t>
      </w:r>
      <w:r w:rsidR="008B5470" w:rsidRPr="0036567A">
        <w:rPr>
          <w:rFonts w:ascii="Arial" w:hAnsi="Arial" w:cs="Arial"/>
          <w:sz w:val="24"/>
          <w:szCs w:val="24"/>
        </w:rPr>
        <w:t>, as outlined overleaf</w:t>
      </w:r>
      <w:r w:rsidR="00BF11DC" w:rsidRPr="0036567A">
        <w:rPr>
          <w:rFonts w:ascii="Arial" w:hAnsi="Arial" w:cs="Arial"/>
          <w:sz w:val="24"/>
          <w:szCs w:val="24"/>
        </w:rPr>
        <w:t xml:space="preserve">.  CLEP’s focus over 2019/20 is working with partners to ensure that projects are </w:t>
      </w:r>
      <w:r w:rsidR="007C5E18" w:rsidRPr="0036567A">
        <w:rPr>
          <w:rFonts w:ascii="Arial" w:hAnsi="Arial" w:cs="Arial"/>
          <w:sz w:val="24"/>
          <w:szCs w:val="24"/>
        </w:rPr>
        <w:t xml:space="preserve">successfully </w:t>
      </w:r>
      <w:r w:rsidR="00BF11DC" w:rsidRPr="0036567A">
        <w:rPr>
          <w:rFonts w:ascii="Arial" w:hAnsi="Arial" w:cs="Arial"/>
          <w:sz w:val="24"/>
          <w:szCs w:val="24"/>
        </w:rPr>
        <w:t xml:space="preserve">delivered </w:t>
      </w:r>
      <w:r w:rsidR="007C5E18" w:rsidRPr="0036567A">
        <w:rPr>
          <w:rFonts w:ascii="Arial" w:hAnsi="Arial" w:cs="Arial"/>
          <w:sz w:val="24"/>
          <w:szCs w:val="24"/>
        </w:rPr>
        <w:t>and both spend and beneficiary outputs achieved.</w:t>
      </w:r>
      <w:r w:rsidR="008B5470" w:rsidRPr="0036567A">
        <w:rPr>
          <w:rFonts w:ascii="Arial" w:hAnsi="Arial" w:cs="Arial"/>
          <w:sz w:val="24"/>
          <w:szCs w:val="24"/>
        </w:rPr>
        <w:br/>
      </w:r>
      <w:r w:rsidR="008B5470" w:rsidRPr="0036567A">
        <w:rPr>
          <w:rFonts w:ascii="Arial" w:hAnsi="Arial" w:cs="Arial"/>
          <w:sz w:val="24"/>
          <w:szCs w:val="24"/>
        </w:rPr>
        <w:br/>
      </w:r>
      <w:r w:rsidR="008B5470" w:rsidRPr="0036567A">
        <w:rPr>
          <w:rFonts w:ascii="Arial" w:hAnsi="Arial" w:cs="Arial"/>
          <w:sz w:val="24"/>
          <w:szCs w:val="24"/>
        </w:rPr>
        <w:br/>
      </w:r>
      <w:r w:rsidR="008B5470" w:rsidRPr="0036567A">
        <w:rPr>
          <w:rFonts w:ascii="Arial" w:hAnsi="Arial" w:cs="Arial"/>
          <w:sz w:val="24"/>
          <w:szCs w:val="24"/>
        </w:rPr>
        <w:br/>
      </w:r>
      <w:r w:rsidR="008B5470" w:rsidRPr="0036567A">
        <w:rPr>
          <w:rFonts w:ascii="Arial" w:hAnsi="Arial" w:cs="Arial"/>
          <w:sz w:val="24"/>
          <w:szCs w:val="24"/>
        </w:rPr>
        <w:br/>
      </w:r>
      <w:r w:rsidR="008B5470" w:rsidRPr="0036567A">
        <w:rPr>
          <w:rFonts w:ascii="Arial" w:hAnsi="Arial" w:cs="Arial"/>
          <w:sz w:val="24"/>
          <w:szCs w:val="24"/>
        </w:rPr>
        <w:br/>
      </w:r>
      <w:r w:rsidR="008B5470" w:rsidRPr="0036567A">
        <w:rPr>
          <w:rFonts w:ascii="Arial" w:hAnsi="Arial" w:cs="Arial"/>
          <w:sz w:val="24"/>
          <w:szCs w:val="24"/>
        </w:rPr>
        <w:br/>
      </w:r>
      <w:r w:rsidR="008B5470" w:rsidRPr="0036567A">
        <w:rPr>
          <w:rFonts w:ascii="Arial" w:hAnsi="Arial" w:cs="Arial"/>
          <w:sz w:val="24"/>
          <w:szCs w:val="24"/>
        </w:rPr>
        <w:br/>
      </w:r>
    </w:p>
    <w:tbl>
      <w:tblPr>
        <w:tblW w:w="8648" w:type="dxa"/>
        <w:tblInd w:w="-176" w:type="dxa"/>
        <w:tblLayout w:type="fixed"/>
        <w:tblLook w:val="04A0" w:firstRow="1" w:lastRow="0" w:firstColumn="1" w:lastColumn="0" w:noHBand="0" w:noVBand="1"/>
      </w:tblPr>
      <w:tblGrid>
        <w:gridCol w:w="3261"/>
        <w:gridCol w:w="1418"/>
        <w:gridCol w:w="1842"/>
        <w:gridCol w:w="2127"/>
      </w:tblGrid>
      <w:tr w:rsidR="006A78E0" w:rsidRPr="005F53CF" w14:paraId="6EC59B75" w14:textId="1751ED84" w:rsidTr="00D254E3">
        <w:trPr>
          <w:trHeight w:val="270"/>
        </w:trPr>
        <w:tc>
          <w:tcPr>
            <w:tcW w:w="3261" w:type="dxa"/>
            <w:tcBorders>
              <w:top w:val="nil"/>
              <w:left w:val="single" w:sz="4" w:space="0" w:color="auto"/>
              <w:bottom w:val="single" w:sz="4" w:space="0" w:color="auto"/>
              <w:right w:val="single" w:sz="4" w:space="0" w:color="auto"/>
            </w:tcBorders>
            <w:noWrap/>
            <w:hideMark/>
          </w:tcPr>
          <w:p w14:paraId="333149CF" w14:textId="5FFB3676" w:rsidR="006A78E0" w:rsidRPr="0036567A" w:rsidRDefault="006A78E0" w:rsidP="0036567A">
            <w:pPr>
              <w:spacing w:after="0"/>
              <w:jc w:val="center"/>
              <w:rPr>
                <w:rFonts w:ascii="Arial" w:hAnsi="Arial" w:cs="Arial"/>
                <w:b/>
                <w:color w:val="000000"/>
                <w:sz w:val="24"/>
                <w:szCs w:val="24"/>
                <w:lang w:eastAsia="en-GB"/>
              </w:rPr>
            </w:pPr>
            <w:r w:rsidRPr="0036567A">
              <w:rPr>
                <w:rFonts w:ascii="Arial" w:hAnsi="Arial" w:cs="Arial"/>
                <w:b/>
                <w:color w:val="000000"/>
                <w:sz w:val="24"/>
                <w:szCs w:val="24"/>
                <w:lang w:eastAsia="en-GB"/>
              </w:rPr>
              <w:t>Participants</w:t>
            </w:r>
          </w:p>
        </w:tc>
        <w:tc>
          <w:tcPr>
            <w:tcW w:w="1418" w:type="dxa"/>
            <w:tcBorders>
              <w:top w:val="nil"/>
              <w:left w:val="nil"/>
              <w:bottom w:val="single" w:sz="4" w:space="0" w:color="auto"/>
              <w:right w:val="single" w:sz="4" w:space="0" w:color="auto"/>
            </w:tcBorders>
            <w:noWrap/>
            <w:hideMark/>
          </w:tcPr>
          <w:p w14:paraId="4BC3E94C" w14:textId="4012F85E" w:rsidR="006A78E0" w:rsidRPr="0036567A" w:rsidRDefault="006A78E0" w:rsidP="0036567A">
            <w:pPr>
              <w:spacing w:after="0"/>
              <w:jc w:val="center"/>
              <w:rPr>
                <w:rFonts w:ascii="Arial" w:hAnsi="Arial" w:cs="Arial"/>
                <w:b/>
                <w:color w:val="000000"/>
                <w:sz w:val="24"/>
                <w:szCs w:val="24"/>
                <w:lang w:eastAsia="en-GB"/>
              </w:rPr>
            </w:pPr>
            <w:r w:rsidRPr="0036567A">
              <w:rPr>
                <w:rFonts w:ascii="Arial" w:hAnsi="Arial" w:cs="Arial"/>
                <w:b/>
                <w:color w:val="000000"/>
                <w:sz w:val="24"/>
                <w:szCs w:val="24"/>
                <w:lang w:eastAsia="en-GB"/>
              </w:rPr>
              <w:t>2023 target</w:t>
            </w:r>
          </w:p>
        </w:tc>
        <w:tc>
          <w:tcPr>
            <w:tcW w:w="1842" w:type="dxa"/>
            <w:tcBorders>
              <w:top w:val="nil"/>
              <w:left w:val="nil"/>
              <w:bottom w:val="single" w:sz="4" w:space="0" w:color="auto"/>
              <w:right w:val="single" w:sz="4" w:space="0" w:color="auto"/>
            </w:tcBorders>
            <w:noWrap/>
            <w:hideMark/>
          </w:tcPr>
          <w:p w14:paraId="35D9F87A" w14:textId="32CEF6FB" w:rsidR="006A78E0" w:rsidRPr="0036567A" w:rsidRDefault="006A78E0" w:rsidP="0036567A">
            <w:pPr>
              <w:spacing w:after="0"/>
              <w:jc w:val="center"/>
              <w:rPr>
                <w:rFonts w:ascii="Arial" w:hAnsi="Arial" w:cs="Arial"/>
                <w:b/>
                <w:color w:val="000000"/>
                <w:sz w:val="24"/>
                <w:szCs w:val="24"/>
                <w:lang w:eastAsia="en-GB"/>
              </w:rPr>
            </w:pPr>
            <w:r w:rsidRPr="0036567A">
              <w:rPr>
                <w:rFonts w:ascii="Arial" w:hAnsi="Arial" w:cs="Arial"/>
                <w:b/>
                <w:color w:val="000000"/>
                <w:sz w:val="24"/>
                <w:szCs w:val="24"/>
                <w:lang w:eastAsia="en-GB"/>
              </w:rPr>
              <w:t>Total committed to date</w:t>
            </w:r>
          </w:p>
        </w:tc>
        <w:tc>
          <w:tcPr>
            <w:tcW w:w="2127" w:type="dxa"/>
            <w:tcBorders>
              <w:top w:val="nil"/>
              <w:left w:val="nil"/>
              <w:bottom w:val="single" w:sz="4" w:space="0" w:color="auto"/>
              <w:right w:val="single" w:sz="4" w:space="0" w:color="auto"/>
            </w:tcBorders>
            <w:noWrap/>
            <w:hideMark/>
          </w:tcPr>
          <w:p w14:paraId="51C0DC05" w14:textId="319AB657" w:rsidR="006A78E0" w:rsidRPr="0036567A" w:rsidRDefault="006A78E0" w:rsidP="0036567A">
            <w:pPr>
              <w:spacing w:after="0"/>
              <w:jc w:val="center"/>
              <w:rPr>
                <w:rFonts w:ascii="Arial" w:hAnsi="Arial" w:cs="Arial"/>
                <w:b/>
                <w:color w:val="000000"/>
                <w:sz w:val="24"/>
                <w:szCs w:val="24"/>
                <w:lang w:eastAsia="en-GB"/>
              </w:rPr>
            </w:pPr>
            <w:r w:rsidRPr="0036567A">
              <w:rPr>
                <w:rFonts w:ascii="Arial" w:hAnsi="Arial" w:cs="Arial"/>
                <w:b/>
                <w:color w:val="000000"/>
                <w:sz w:val="24"/>
                <w:szCs w:val="24"/>
                <w:lang w:eastAsia="en-GB"/>
              </w:rPr>
              <w:t>Total committed as % of target</w:t>
            </w:r>
          </w:p>
        </w:tc>
      </w:tr>
      <w:tr w:rsidR="006A78E0" w:rsidRPr="005F53CF" w14:paraId="3D1F8A67" w14:textId="4B3D6719" w:rsidTr="00D254E3">
        <w:trPr>
          <w:trHeight w:val="270"/>
        </w:trPr>
        <w:tc>
          <w:tcPr>
            <w:tcW w:w="3261" w:type="dxa"/>
            <w:tcBorders>
              <w:top w:val="nil"/>
              <w:left w:val="single" w:sz="4" w:space="0" w:color="auto"/>
              <w:bottom w:val="single" w:sz="4" w:space="0" w:color="auto"/>
              <w:right w:val="single" w:sz="4" w:space="0" w:color="auto"/>
            </w:tcBorders>
            <w:noWrap/>
            <w:hideMark/>
          </w:tcPr>
          <w:p w14:paraId="2DE9CA12" w14:textId="3D11A67D" w:rsidR="006A78E0" w:rsidRPr="005F53CF" w:rsidRDefault="006A78E0">
            <w:pPr>
              <w:spacing w:after="0"/>
              <w:rPr>
                <w:rFonts w:ascii="Arial" w:hAnsi="Arial" w:cs="Arial"/>
                <w:color w:val="000000"/>
                <w:sz w:val="24"/>
                <w:szCs w:val="24"/>
                <w:lang w:eastAsia="en-GB"/>
              </w:rPr>
            </w:pPr>
            <w:r w:rsidRPr="005F53CF">
              <w:rPr>
                <w:rFonts w:ascii="Arial" w:hAnsi="Arial" w:cs="Arial"/>
                <w:color w:val="000000"/>
                <w:sz w:val="24"/>
                <w:szCs w:val="24"/>
                <w:lang w:eastAsia="en-GB"/>
              </w:rPr>
              <w:t>1.1 Access To Employment For Job-Seekers And Inactive People</w:t>
            </w:r>
          </w:p>
        </w:tc>
        <w:tc>
          <w:tcPr>
            <w:tcW w:w="1418" w:type="dxa"/>
            <w:tcBorders>
              <w:top w:val="nil"/>
              <w:left w:val="nil"/>
              <w:bottom w:val="single" w:sz="4" w:space="0" w:color="auto"/>
              <w:right w:val="single" w:sz="4" w:space="0" w:color="auto"/>
            </w:tcBorders>
            <w:noWrap/>
            <w:hideMark/>
          </w:tcPr>
          <w:p w14:paraId="48783F1F" w14:textId="5CFC929D" w:rsidR="006A78E0" w:rsidRPr="005F53CF" w:rsidRDefault="006A78E0">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9,062</w:t>
            </w:r>
          </w:p>
        </w:tc>
        <w:tc>
          <w:tcPr>
            <w:tcW w:w="1842" w:type="dxa"/>
            <w:tcBorders>
              <w:top w:val="nil"/>
              <w:left w:val="nil"/>
              <w:bottom w:val="single" w:sz="4" w:space="0" w:color="auto"/>
              <w:right w:val="single" w:sz="4" w:space="0" w:color="auto"/>
            </w:tcBorders>
            <w:noWrap/>
            <w:hideMark/>
          </w:tcPr>
          <w:p w14:paraId="481A6F83" w14:textId="2F6E6496" w:rsidR="006A78E0" w:rsidRPr="005F53CF" w:rsidRDefault="006A78E0">
            <w:pPr>
              <w:spacing w:after="0"/>
              <w:jc w:val="right"/>
              <w:rPr>
                <w:rFonts w:ascii="Arial" w:hAnsi="Arial" w:cs="Arial"/>
                <w:color w:val="000000"/>
                <w:sz w:val="24"/>
                <w:szCs w:val="24"/>
                <w:lang w:eastAsia="en-GB"/>
              </w:rPr>
            </w:pPr>
            <w:r>
              <w:rPr>
                <w:rFonts w:ascii="Arial" w:hAnsi="Arial" w:cs="Arial"/>
                <w:color w:val="000000"/>
                <w:sz w:val="24"/>
                <w:szCs w:val="24"/>
                <w:lang w:eastAsia="en-GB"/>
              </w:rPr>
              <w:t>8,398</w:t>
            </w:r>
          </w:p>
        </w:tc>
        <w:tc>
          <w:tcPr>
            <w:tcW w:w="2127" w:type="dxa"/>
            <w:tcBorders>
              <w:top w:val="nil"/>
              <w:left w:val="nil"/>
              <w:bottom w:val="single" w:sz="4" w:space="0" w:color="auto"/>
              <w:right w:val="single" w:sz="4" w:space="0" w:color="auto"/>
            </w:tcBorders>
            <w:noWrap/>
            <w:hideMark/>
          </w:tcPr>
          <w:p w14:paraId="3B9ACFB8" w14:textId="3915A03D" w:rsidR="006A78E0" w:rsidRPr="005F53CF" w:rsidRDefault="006A78E0">
            <w:pPr>
              <w:spacing w:after="0"/>
              <w:jc w:val="right"/>
              <w:rPr>
                <w:rFonts w:ascii="Arial" w:hAnsi="Arial" w:cs="Arial"/>
                <w:color w:val="000000"/>
                <w:sz w:val="24"/>
                <w:szCs w:val="24"/>
                <w:lang w:eastAsia="en-GB"/>
              </w:rPr>
            </w:pPr>
            <w:r>
              <w:rPr>
                <w:rFonts w:ascii="Arial" w:hAnsi="Arial" w:cs="Arial"/>
                <w:color w:val="000000"/>
                <w:sz w:val="24"/>
                <w:szCs w:val="24"/>
                <w:lang w:eastAsia="en-GB"/>
              </w:rPr>
              <w:t>93</w:t>
            </w:r>
            <w:r w:rsidRPr="005F53CF">
              <w:rPr>
                <w:rFonts w:ascii="Arial" w:hAnsi="Arial" w:cs="Arial"/>
                <w:color w:val="000000"/>
                <w:sz w:val="24"/>
                <w:szCs w:val="24"/>
                <w:lang w:eastAsia="en-GB"/>
              </w:rPr>
              <w:t>%</w:t>
            </w:r>
          </w:p>
        </w:tc>
      </w:tr>
      <w:tr w:rsidR="006A78E0" w:rsidRPr="005F53CF" w14:paraId="03D82DCF" w14:textId="5961F8B2" w:rsidTr="00D254E3">
        <w:trPr>
          <w:trHeight w:val="270"/>
        </w:trPr>
        <w:tc>
          <w:tcPr>
            <w:tcW w:w="3261" w:type="dxa"/>
            <w:tcBorders>
              <w:top w:val="nil"/>
              <w:left w:val="single" w:sz="4" w:space="0" w:color="auto"/>
              <w:bottom w:val="single" w:sz="4" w:space="0" w:color="auto"/>
              <w:right w:val="single" w:sz="4" w:space="0" w:color="auto"/>
            </w:tcBorders>
            <w:noWrap/>
            <w:hideMark/>
          </w:tcPr>
          <w:p w14:paraId="7E0D72F9" w14:textId="0DA91A67" w:rsidR="006A78E0" w:rsidRPr="005F53CF" w:rsidRDefault="006A78E0">
            <w:pPr>
              <w:spacing w:after="0"/>
              <w:rPr>
                <w:rFonts w:ascii="Arial" w:hAnsi="Arial" w:cs="Arial"/>
                <w:color w:val="000000"/>
                <w:sz w:val="24"/>
                <w:szCs w:val="24"/>
                <w:lang w:eastAsia="en-GB"/>
              </w:rPr>
            </w:pPr>
            <w:r w:rsidRPr="005F53CF">
              <w:rPr>
                <w:rFonts w:ascii="Arial" w:hAnsi="Arial" w:cs="Arial"/>
                <w:color w:val="000000"/>
                <w:sz w:val="24"/>
                <w:szCs w:val="24"/>
                <w:lang w:eastAsia="en-GB"/>
              </w:rPr>
              <w:t>1.2 Sustainable Integration Of Young People</w:t>
            </w:r>
          </w:p>
        </w:tc>
        <w:tc>
          <w:tcPr>
            <w:tcW w:w="1418" w:type="dxa"/>
            <w:tcBorders>
              <w:top w:val="nil"/>
              <w:left w:val="nil"/>
              <w:bottom w:val="single" w:sz="4" w:space="0" w:color="auto"/>
              <w:right w:val="single" w:sz="4" w:space="0" w:color="auto"/>
            </w:tcBorders>
            <w:noWrap/>
            <w:hideMark/>
          </w:tcPr>
          <w:p w14:paraId="1B5908A6" w14:textId="4E7CAC0A" w:rsidR="006A78E0" w:rsidRPr="005F53CF" w:rsidRDefault="006A78E0">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2,098</w:t>
            </w:r>
          </w:p>
        </w:tc>
        <w:tc>
          <w:tcPr>
            <w:tcW w:w="1842" w:type="dxa"/>
            <w:tcBorders>
              <w:top w:val="nil"/>
              <w:left w:val="nil"/>
              <w:bottom w:val="single" w:sz="4" w:space="0" w:color="auto"/>
              <w:right w:val="single" w:sz="4" w:space="0" w:color="auto"/>
            </w:tcBorders>
            <w:noWrap/>
            <w:hideMark/>
          </w:tcPr>
          <w:p w14:paraId="41AD7E7A" w14:textId="0DB12485" w:rsidR="006A78E0" w:rsidRPr="005F53CF" w:rsidRDefault="006A78E0">
            <w:pPr>
              <w:spacing w:after="0"/>
              <w:jc w:val="right"/>
              <w:rPr>
                <w:rFonts w:ascii="Arial" w:hAnsi="Arial" w:cs="Arial"/>
                <w:color w:val="000000"/>
                <w:sz w:val="24"/>
                <w:szCs w:val="24"/>
                <w:lang w:eastAsia="en-GB"/>
              </w:rPr>
            </w:pPr>
            <w:r>
              <w:rPr>
                <w:rFonts w:ascii="Arial" w:hAnsi="Arial" w:cs="Arial"/>
                <w:color w:val="000000"/>
                <w:sz w:val="24"/>
                <w:szCs w:val="24"/>
                <w:lang w:eastAsia="en-GB"/>
              </w:rPr>
              <w:t>1,124</w:t>
            </w:r>
          </w:p>
        </w:tc>
        <w:tc>
          <w:tcPr>
            <w:tcW w:w="2127" w:type="dxa"/>
            <w:tcBorders>
              <w:top w:val="nil"/>
              <w:left w:val="nil"/>
              <w:bottom w:val="single" w:sz="4" w:space="0" w:color="auto"/>
              <w:right w:val="single" w:sz="4" w:space="0" w:color="auto"/>
            </w:tcBorders>
            <w:noWrap/>
            <w:hideMark/>
          </w:tcPr>
          <w:p w14:paraId="3F8C48F8" w14:textId="2A7158A2" w:rsidR="006A78E0" w:rsidRPr="005F53CF" w:rsidRDefault="006A78E0">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54%</w:t>
            </w:r>
          </w:p>
        </w:tc>
      </w:tr>
      <w:tr w:rsidR="006A78E0" w:rsidRPr="005F53CF" w14:paraId="56397EC1" w14:textId="4B275811" w:rsidTr="00D254E3">
        <w:trPr>
          <w:trHeight w:val="270"/>
        </w:trPr>
        <w:tc>
          <w:tcPr>
            <w:tcW w:w="3261" w:type="dxa"/>
            <w:tcBorders>
              <w:top w:val="nil"/>
              <w:left w:val="single" w:sz="4" w:space="0" w:color="auto"/>
              <w:bottom w:val="single" w:sz="4" w:space="0" w:color="auto"/>
              <w:right w:val="single" w:sz="4" w:space="0" w:color="auto"/>
            </w:tcBorders>
            <w:noWrap/>
            <w:hideMark/>
          </w:tcPr>
          <w:p w14:paraId="17621E44" w14:textId="1E8EA732" w:rsidR="006A78E0" w:rsidRPr="005F53CF" w:rsidRDefault="006A78E0">
            <w:pPr>
              <w:spacing w:after="0"/>
              <w:rPr>
                <w:rFonts w:ascii="Arial" w:hAnsi="Arial" w:cs="Arial"/>
                <w:color w:val="000000"/>
                <w:sz w:val="24"/>
                <w:szCs w:val="24"/>
                <w:lang w:eastAsia="en-GB"/>
              </w:rPr>
            </w:pPr>
            <w:r w:rsidRPr="005F53CF">
              <w:rPr>
                <w:rFonts w:ascii="Arial" w:hAnsi="Arial" w:cs="Arial"/>
                <w:color w:val="000000"/>
                <w:sz w:val="24"/>
                <w:szCs w:val="24"/>
                <w:lang w:eastAsia="en-GB"/>
              </w:rPr>
              <w:t>1.4 Active Inclusion</w:t>
            </w:r>
          </w:p>
        </w:tc>
        <w:tc>
          <w:tcPr>
            <w:tcW w:w="1418" w:type="dxa"/>
            <w:tcBorders>
              <w:top w:val="nil"/>
              <w:left w:val="nil"/>
              <w:bottom w:val="single" w:sz="4" w:space="0" w:color="auto"/>
              <w:right w:val="single" w:sz="4" w:space="0" w:color="auto"/>
            </w:tcBorders>
            <w:noWrap/>
            <w:hideMark/>
          </w:tcPr>
          <w:p w14:paraId="40925E0B" w14:textId="09B273A5" w:rsidR="006A78E0" w:rsidRPr="005F53CF" w:rsidRDefault="006A78E0">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1,771</w:t>
            </w:r>
          </w:p>
        </w:tc>
        <w:tc>
          <w:tcPr>
            <w:tcW w:w="1842" w:type="dxa"/>
            <w:tcBorders>
              <w:top w:val="nil"/>
              <w:left w:val="nil"/>
              <w:bottom w:val="single" w:sz="4" w:space="0" w:color="auto"/>
              <w:right w:val="single" w:sz="4" w:space="0" w:color="auto"/>
            </w:tcBorders>
            <w:noWrap/>
            <w:hideMark/>
          </w:tcPr>
          <w:p w14:paraId="4A2EADED" w14:textId="1E0B33D2" w:rsidR="006A78E0" w:rsidRPr="005F53CF" w:rsidRDefault="006A78E0">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976</w:t>
            </w:r>
          </w:p>
        </w:tc>
        <w:tc>
          <w:tcPr>
            <w:tcW w:w="2127" w:type="dxa"/>
            <w:tcBorders>
              <w:top w:val="nil"/>
              <w:left w:val="nil"/>
              <w:bottom w:val="single" w:sz="4" w:space="0" w:color="auto"/>
              <w:right w:val="single" w:sz="4" w:space="0" w:color="auto"/>
            </w:tcBorders>
            <w:noWrap/>
            <w:hideMark/>
          </w:tcPr>
          <w:p w14:paraId="73426C16" w14:textId="72F564C2" w:rsidR="006A78E0" w:rsidRPr="005F53CF" w:rsidRDefault="006A78E0">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55%</w:t>
            </w:r>
          </w:p>
        </w:tc>
      </w:tr>
      <w:tr w:rsidR="006A78E0" w:rsidRPr="005F53CF" w14:paraId="67DC2E44" w14:textId="2CD0F4A6" w:rsidTr="00D254E3">
        <w:trPr>
          <w:trHeight w:val="270"/>
        </w:trPr>
        <w:tc>
          <w:tcPr>
            <w:tcW w:w="3261" w:type="dxa"/>
            <w:tcBorders>
              <w:top w:val="nil"/>
              <w:left w:val="single" w:sz="4" w:space="0" w:color="auto"/>
              <w:bottom w:val="single" w:sz="4" w:space="0" w:color="auto"/>
              <w:right w:val="single" w:sz="4" w:space="0" w:color="auto"/>
            </w:tcBorders>
            <w:noWrap/>
            <w:hideMark/>
          </w:tcPr>
          <w:p w14:paraId="76C08834" w14:textId="3F6A6C1A" w:rsidR="006A78E0" w:rsidRPr="005F53CF" w:rsidRDefault="006A78E0">
            <w:pPr>
              <w:spacing w:after="0"/>
              <w:rPr>
                <w:rFonts w:ascii="Arial" w:hAnsi="Arial" w:cs="Arial"/>
                <w:color w:val="000000"/>
                <w:sz w:val="24"/>
                <w:szCs w:val="24"/>
                <w:lang w:eastAsia="en-GB"/>
              </w:rPr>
            </w:pPr>
            <w:r w:rsidRPr="005F53CF">
              <w:rPr>
                <w:rFonts w:ascii="Arial" w:hAnsi="Arial" w:cs="Arial"/>
                <w:color w:val="000000"/>
                <w:sz w:val="24"/>
                <w:szCs w:val="24"/>
                <w:lang w:eastAsia="en-GB"/>
              </w:rPr>
              <w:t>PA1 Total</w:t>
            </w:r>
          </w:p>
        </w:tc>
        <w:tc>
          <w:tcPr>
            <w:tcW w:w="1418" w:type="dxa"/>
            <w:tcBorders>
              <w:top w:val="nil"/>
              <w:left w:val="nil"/>
              <w:bottom w:val="single" w:sz="4" w:space="0" w:color="auto"/>
              <w:right w:val="single" w:sz="4" w:space="0" w:color="auto"/>
            </w:tcBorders>
            <w:noWrap/>
            <w:hideMark/>
          </w:tcPr>
          <w:p w14:paraId="3A7AED3A" w14:textId="460B17E0" w:rsidR="006A78E0" w:rsidRPr="005F53CF" w:rsidRDefault="006A78E0">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12,931</w:t>
            </w:r>
          </w:p>
        </w:tc>
        <w:tc>
          <w:tcPr>
            <w:tcW w:w="1842" w:type="dxa"/>
            <w:tcBorders>
              <w:top w:val="nil"/>
              <w:left w:val="nil"/>
              <w:bottom w:val="single" w:sz="4" w:space="0" w:color="auto"/>
              <w:right w:val="single" w:sz="4" w:space="0" w:color="auto"/>
            </w:tcBorders>
            <w:noWrap/>
            <w:hideMark/>
          </w:tcPr>
          <w:p w14:paraId="18EBAC74" w14:textId="5FD2CC6B" w:rsidR="006A78E0" w:rsidRPr="005F53CF" w:rsidRDefault="006A78E0">
            <w:pPr>
              <w:spacing w:after="0"/>
              <w:jc w:val="right"/>
              <w:rPr>
                <w:rFonts w:ascii="Arial" w:hAnsi="Arial" w:cs="Arial"/>
                <w:color w:val="000000"/>
                <w:sz w:val="24"/>
                <w:szCs w:val="24"/>
                <w:lang w:eastAsia="en-GB"/>
              </w:rPr>
            </w:pPr>
            <w:r>
              <w:rPr>
                <w:rFonts w:ascii="Arial" w:hAnsi="Arial" w:cs="Arial"/>
                <w:color w:val="000000"/>
                <w:sz w:val="24"/>
                <w:szCs w:val="24"/>
                <w:lang w:eastAsia="en-GB"/>
              </w:rPr>
              <w:t>10,498</w:t>
            </w:r>
          </w:p>
        </w:tc>
        <w:tc>
          <w:tcPr>
            <w:tcW w:w="2127" w:type="dxa"/>
            <w:tcBorders>
              <w:top w:val="nil"/>
              <w:left w:val="nil"/>
              <w:bottom w:val="single" w:sz="4" w:space="0" w:color="auto"/>
              <w:right w:val="single" w:sz="4" w:space="0" w:color="auto"/>
            </w:tcBorders>
            <w:noWrap/>
            <w:hideMark/>
          </w:tcPr>
          <w:p w14:paraId="520D6B5A" w14:textId="34F9175D" w:rsidR="006A78E0" w:rsidRPr="005F53CF" w:rsidRDefault="006A78E0">
            <w:pPr>
              <w:spacing w:after="0"/>
              <w:jc w:val="right"/>
              <w:rPr>
                <w:rFonts w:ascii="Arial" w:hAnsi="Arial" w:cs="Arial"/>
                <w:color w:val="000000"/>
                <w:sz w:val="24"/>
                <w:szCs w:val="24"/>
                <w:lang w:eastAsia="en-GB"/>
              </w:rPr>
            </w:pPr>
            <w:r>
              <w:rPr>
                <w:rFonts w:ascii="Arial" w:hAnsi="Arial" w:cs="Arial"/>
                <w:color w:val="000000"/>
                <w:sz w:val="24"/>
                <w:szCs w:val="24"/>
                <w:lang w:eastAsia="en-GB"/>
              </w:rPr>
              <w:t>81</w:t>
            </w:r>
            <w:r w:rsidRPr="005F53CF">
              <w:rPr>
                <w:rFonts w:ascii="Arial" w:hAnsi="Arial" w:cs="Arial"/>
                <w:color w:val="000000"/>
                <w:sz w:val="24"/>
                <w:szCs w:val="24"/>
                <w:lang w:eastAsia="en-GB"/>
              </w:rPr>
              <w:t>%</w:t>
            </w:r>
          </w:p>
        </w:tc>
      </w:tr>
      <w:tr w:rsidR="006A78E0" w:rsidRPr="005F53CF" w14:paraId="0521F533" w14:textId="13AB4348" w:rsidTr="00D254E3">
        <w:trPr>
          <w:trHeight w:val="270"/>
        </w:trPr>
        <w:tc>
          <w:tcPr>
            <w:tcW w:w="3261" w:type="dxa"/>
            <w:tcBorders>
              <w:top w:val="nil"/>
              <w:left w:val="single" w:sz="4" w:space="0" w:color="auto"/>
              <w:bottom w:val="single" w:sz="4" w:space="0" w:color="auto"/>
              <w:right w:val="single" w:sz="4" w:space="0" w:color="auto"/>
            </w:tcBorders>
            <w:noWrap/>
            <w:hideMark/>
          </w:tcPr>
          <w:p w14:paraId="04E7C6FD" w14:textId="674649D6" w:rsidR="006A78E0" w:rsidRPr="005F53CF" w:rsidRDefault="006A78E0">
            <w:pPr>
              <w:spacing w:after="0"/>
              <w:rPr>
                <w:rFonts w:ascii="Arial" w:hAnsi="Arial" w:cs="Arial"/>
                <w:color w:val="000000"/>
                <w:sz w:val="24"/>
                <w:szCs w:val="24"/>
                <w:lang w:eastAsia="en-GB"/>
              </w:rPr>
            </w:pPr>
            <w:r w:rsidRPr="005F53CF">
              <w:rPr>
                <w:rFonts w:ascii="Arial" w:hAnsi="Arial" w:cs="Arial"/>
                <w:color w:val="000000"/>
                <w:sz w:val="24"/>
                <w:szCs w:val="24"/>
                <w:lang w:eastAsia="en-GB"/>
              </w:rPr>
              <w:t>2.1 Enhancing Equal Access To Lifelong Learning</w:t>
            </w:r>
          </w:p>
        </w:tc>
        <w:tc>
          <w:tcPr>
            <w:tcW w:w="1418" w:type="dxa"/>
            <w:tcBorders>
              <w:top w:val="nil"/>
              <w:left w:val="nil"/>
              <w:bottom w:val="single" w:sz="4" w:space="0" w:color="auto"/>
              <w:right w:val="single" w:sz="4" w:space="0" w:color="auto"/>
            </w:tcBorders>
            <w:noWrap/>
            <w:hideMark/>
          </w:tcPr>
          <w:p w14:paraId="4F5487C1" w14:textId="2AD01360" w:rsidR="006A78E0" w:rsidRPr="005F53CF" w:rsidRDefault="006A78E0">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13,886</w:t>
            </w:r>
          </w:p>
        </w:tc>
        <w:tc>
          <w:tcPr>
            <w:tcW w:w="1842" w:type="dxa"/>
            <w:tcBorders>
              <w:top w:val="nil"/>
              <w:left w:val="nil"/>
              <w:bottom w:val="single" w:sz="4" w:space="0" w:color="auto"/>
              <w:right w:val="single" w:sz="4" w:space="0" w:color="auto"/>
            </w:tcBorders>
            <w:noWrap/>
            <w:hideMark/>
          </w:tcPr>
          <w:p w14:paraId="78E8C6E9" w14:textId="5302133D" w:rsidR="006A78E0" w:rsidRPr="005F53CF" w:rsidRDefault="006A78E0" w:rsidP="004C584F">
            <w:pPr>
              <w:spacing w:after="0"/>
              <w:jc w:val="right"/>
              <w:rPr>
                <w:rFonts w:ascii="Arial" w:hAnsi="Arial" w:cs="Arial"/>
                <w:color w:val="000000"/>
                <w:sz w:val="24"/>
                <w:szCs w:val="24"/>
                <w:lang w:eastAsia="en-GB"/>
              </w:rPr>
            </w:pPr>
            <w:r>
              <w:rPr>
                <w:rFonts w:ascii="Arial" w:hAnsi="Arial" w:cs="Arial"/>
                <w:color w:val="000000"/>
                <w:sz w:val="24"/>
                <w:szCs w:val="24"/>
                <w:lang w:eastAsia="en-GB"/>
              </w:rPr>
              <w:t>11,998</w:t>
            </w:r>
          </w:p>
        </w:tc>
        <w:tc>
          <w:tcPr>
            <w:tcW w:w="2127" w:type="dxa"/>
            <w:tcBorders>
              <w:top w:val="nil"/>
              <w:left w:val="nil"/>
              <w:bottom w:val="single" w:sz="4" w:space="0" w:color="auto"/>
              <w:right w:val="single" w:sz="4" w:space="0" w:color="auto"/>
            </w:tcBorders>
            <w:noWrap/>
            <w:hideMark/>
          </w:tcPr>
          <w:p w14:paraId="1815531B" w14:textId="11A8FDCE" w:rsidR="006A78E0" w:rsidRPr="005F53CF" w:rsidRDefault="006A78E0">
            <w:pPr>
              <w:spacing w:after="0"/>
              <w:jc w:val="right"/>
              <w:rPr>
                <w:rFonts w:ascii="Arial" w:hAnsi="Arial" w:cs="Arial"/>
                <w:color w:val="000000"/>
                <w:sz w:val="24"/>
                <w:szCs w:val="24"/>
                <w:lang w:eastAsia="en-GB"/>
              </w:rPr>
            </w:pPr>
            <w:r>
              <w:rPr>
                <w:rFonts w:ascii="Arial" w:hAnsi="Arial" w:cs="Arial"/>
                <w:color w:val="000000"/>
                <w:sz w:val="24"/>
                <w:szCs w:val="24"/>
                <w:lang w:eastAsia="en-GB"/>
              </w:rPr>
              <w:t>85</w:t>
            </w:r>
            <w:r w:rsidRPr="005F53CF">
              <w:rPr>
                <w:rFonts w:ascii="Arial" w:hAnsi="Arial" w:cs="Arial"/>
                <w:color w:val="000000"/>
                <w:sz w:val="24"/>
                <w:szCs w:val="24"/>
                <w:lang w:eastAsia="en-GB"/>
              </w:rPr>
              <w:t>%</w:t>
            </w:r>
          </w:p>
        </w:tc>
      </w:tr>
      <w:tr w:rsidR="006A78E0" w:rsidRPr="005F53CF" w14:paraId="0C24188A" w14:textId="67FFA72A" w:rsidTr="00D254E3">
        <w:trPr>
          <w:trHeight w:val="424"/>
        </w:trPr>
        <w:tc>
          <w:tcPr>
            <w:tcW w:w="3261" w:type="dxa"/>
            <w:tcBorders>
              <w:top w:val="nil"/>
              <w:left w:val="single" w:sz="4" w:space="0" w:color="auto"/>
              <w:bottom w:val="single" w:sz="4" w:space="0" w:color="auto"/>
              <w:right w:val="single" w:sz="4" w:space="0" w:color="auto"/>
            </w:tcBorders>
            <w:hideMark/>
          </w:tcPr>
          <w:p w14:paraId="02C85676" w14:textId="2C40EE7C" w:rsidR="006A78E0" w:rsidRPr="005F53CF" w:rsidRDefault="006A78E0">
            <w:pPr>
              <w:spacing w:after="0"/>
              <w:rPr>
                <w:rFonts w:ascii="Arial" w:hAnsi="Arial" w:cs="Arial"/>
                <w:color w:val="000000"/>
                <w:sz w:val="24"/>
                <w:szCs w:val="24"/>
                <w:lang w:eastAsia="en-GB"/>
              </w:rPr>
            </w:pPr>
            <w:r w:rsidRPr="005F53CF">
              <w:rPr>
                <w:rFonts w:ascii="Arial" w:hAnsi="Arial" w:cs="Arial"/>
                <w:color w:val="000000"/>
                <w:sz w:val="24"/>
                <w:szCs w:val="24"/>
                <w:lang w:eastAsia="en-GB"/>
              </w:rPr>
              <w:t>2.1 Improving The Labour Market Relevance Of Education And Training Systems</w:t>
            </w:r>
          </w:p>
        </w:tc>
        <w:tc>
          <w:tcPr>
            <w:tcW w:w="1418" w:type="dxa"/>
            <w:tcBorders>
              <w:top w:val="nil"/>
              <w:left w:val="nil"/>
              <w:bottom w:val="single" w:sz="4" w:space="0" w:color="auto"/>
              <w:right w:val="single" w:sz="4" w:space="0" w:color="auto"/>
            </w:tcBorders>
            <w:noWrap/>
            <w:hideMark/>
          </w:tcPr>
          <w:p w14:paraId="615030BA" w14:textId="24EE08B8" w:rsidR="006A78E0" w:rsidRPr="005F53CF" w:rsidRDefault="006A78E0">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238</w:t>
            </w:r>
          </w:p>
        </w:tc>
        <w:tc>
          <w:tcPr>
            <w:tcW w:w="1842" w:type="dxa"/>
            <w:tcBorders>
              <w:top w:val="nil"/>
              <w:left w:val="nil"/>
              <w:bottom w:val="single" w:sz="4" w:space="0" w:color="auto"/>
              <w:right w:val="single" w:sz="4" w:space="0" w:color="auto"/>
            </w:tcBorders>
            <w:noWrap/>
            <w:hideMark/>
          </w:tcPr>
          <w:p w14:paraId="5C6A3D44" w14:textId="2232EC2A" w:rsidR="006A78E0" w:rsidRPr="005F53CF" w:rsidRDefault="006A78E0">
            <w:pPr>
              <w:spacing w:after="0"/>
              <w:rPr>
                <w:rFonts w:ascii="Arial" w:hAnsi="Arial" w:cs="Arial"/>
                <w:color w:val="000000"/>
                <w:sz w:val="24"/>
                <w:szCs w:val="24"/>
                <w:lang w:eastAsia="en-GB"/>
              </w:rPr>
            </w:pPr>
            <w:r w:rsidRPr="005F53CF">
              <w:rPr>
                <w:rFonts w:ascii="Arial" w:hAnsi="Arial" w:cs="Arial"/>
                <w:color w:val="000000"/>
                <w:sz w:val="24"/>
                <w:szCs w:val="24"/>
                <w:lang w:eastAsia="en-GB"/>
              </w:rPr>
              <w:t> </w:t>
            </w:r>
            <w:r>
              <w:rPr>
                <w:rFonts w:ascii="Arial" w:hAnsi="Arial" w:cs="Arial"/>
                <w:color w:val="000000"/>
                <w:sz w:val="24"/>
                <w:szCs w:val="24"/>
                <w:lang w:eastAsia="en-GB"/>
              </w:rPr>
              <w:t>0</w:t>
            </w:r>
          </w:p>
        </w:tc>
        <w:tc>
          <w:tcPr>
            <w:tcW w:w="2127" w:type="dxa"/>
            <w:tcBorders>
              <w:top w:val="nil"/>
              <w:left w:val="nil"/>
              <w:bottom w:val="single" w:sz="4" w:space="0" w:color="auto"/>
              <w:right w:val="single" w:sz="4" w:space="0" w:color="auto"/>
            </w:tcBorders>
            <w:noWrap/>
            <w:hideMark/>
          </w:tcPr>
          <w:p w14:paraId="5EFC3257" w14:textId="1A0C615B" w:rsidR="006A78E0" w:rsidRPr="005F53CF" w:rsidRDefault="006A78E0">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0%</w:t>
            </w:r>
          </w:p>
        </w:tc>
      </w:tr>
      <w:tr w:rsidR="006A78E0" w:rsidRPr="005F53CF" w14:paraId="68F316FA" w14:textId="4E42A4D1" w:rsidTr="00D254E3">
        <w:trPr>
          <w:trHeight w:val="270"/>
        </w:trPr>
        <w:tc>
          <w:tcPr>
            <w:tcW w:w="3261" w:type="dxa"/>
            <w:tcBorders>
              <w:top w:val="nil"/>
              <w:left w:val="single" w:sz="4" w:space="0" w:color="auto"/>
              <w:bottom w:val="single" w:sz="4" w:space="0" w:color="auto"/>
              <w:right w:val="single" w:sz="4" w:space="0" w:color="auto"/>
            </w:tcBorders>
            <w:noWrap/>
            <w:hideMark/>
          </w:tcPr>
          <w:p w14:paraId="5FCE0CF2" w14:textId="55BCDE8F" w:rsidR="006A78E0" w:rsidRPr="005F53CF" w:rsidRDefault="006A78E0">
            <w:pPr>
              <w:spacing w:after="0"/>
              <w:rPr>
                <w:rFonts w:ascii="Arial" w:hAnsi="Arial" w:cs="Arial"/>
                <w:color w:val="000000"/>
                <w:sz w:val="24"/>
                <w:szCs w:val="24"/>
                <w:lang w:eastAsia="en-GB"/>
              </w:rPr>
            </w:pPr>
            <w:r w:rsidRPr="005F53CF">
              <w:rPr>
                <w:rFonts w:ascii="Arial" w:hAnsi="Arial" w:cs="Arial"/>
                <w:color w:val="000000"/>
                <w:sz w:val="24"/>
                <w:szCs w:val="24"/>
                <w:lang w:eastAsia="en-GB"/>
              </w:rPr>
              <w:t>PA 2 Total</w:t>
            </w:r>
          </w:p>
        </w:tc>
        <w:tc>
          <w:tcPr>
            <w:tcW w:w="1418" w:type="dxa"/>
            <w:tcBorders>
              <w:top w:val="nil"/>
              <w:left w:val="nil"/>
              <w:bottom w:val="single" w:sz="4" w:space="0" w:color="auto"/>
              <w:right w:val="single" w:sz="4" w:space="0" w:color="auto"/>
            </w:tcBorders>
            <w:noWrap/>
            <w:hideMark/>
          </w:tcPr>
          <w:p w14:paraId="7768A960" w14:textId="32944B39" w:rsidR="006A78E0" w:rsidRPr="005F53CF" w:rsidRDefault="006A78E0">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14,124</w:t>
            </w:r>
          </w:p>
        </w:tc>
        <w:tc>
          <w:tcPr>
            <w:tcW w:w="1842" w:type="dxa"/>
            <w:tcBorders>
              <w:top w:val="nil"/>
              <w:left w:val="nil"/>
              <w:bottom w:val="single" w:sz="4" w:space="0" w:color="auto"/>
              <w:right w:val="single" w:sz="4" w:space="0" w:color="auto"/>
            </w:tcBorders>
            <w:noWrap/>
            <w:hideMark/>
          </w:tcPr>
          <w:p w14:paraId="0536CDB3" w14:textId="1B1D77DE" w:rsidR="006A78E0" w:rsidRPr="005F53CF" w:rsidRDefault="006A78E0">
            <w:pPr>
              <w:spacing w:after="0"/>
              <w:jc w:val="right"/>
              <w:rPr>
                <w:rFonts w:ascii="Arial" w:hAnsi="Arial" w:cs="Arial"/>
                <w:color w:val="000000"/>
                <w:sz w:val="24"/>
                <w:szCs w:val="24"/>
                <w:lang w:eastAsia="en-GB"/>
              </w:rPr>
            </w:pPr>
            <w:r>
              <w:rPr>
                <w:rFonts w:ascii="Arial" w:hAnsi="Arial" w:cs="Arial"/>
                <w:color w:val="000000"/>
                <w:sz w:val="24"/>
                <w:szCs w:val="24"/>
                <w:lang w:eastAsia="en-GB"/>
              </w:rPr>
              <w:t>11,998</w:t>
            </w:r>
          </w:p>
        </w:tc>
        <w:tc>
          <w:tcPr>
            <w:tcW w:w="2127" w:type="dxa"/>
            <w:tcBorders>
              <w:top w:val="nil"/>
              <w:left w:val="nil"/>
              <w:bottom w:val="single" w:sz="4" w:space="0" w:color="auto"/>
              <w:right w:val="single" w:sz="4" w:space="0" w:color="auto"/>
            </w:tcBorders>
            <w:noWrap/>
            <w:hideMark/>
          </w:tcPr>
          <w:p w14:paraId="59212E1E" w14:textId="548C43AF" w:rsidR="006A78E0" w:rsidRPr="005F53CF" w:rsidRDefault="006A78E0">
            <w:pPr>
              <w:spacing w:after="0"/>
              <w:jc w:val="right"/>
              <w:rPr>
                <w:rFonts w:ascii="Arial" w:hAnsi="Arial" w:cs="Arial"/>
                <w:color w:val="000000"/>
                <w:sz w:val="24"/>
                <w:szCs w:val="24"/>
                <w:lang w:eastAsia="en-GB"/>
              </w:rPr>
            </w:pPr>
            <w:r>
              <w:rPr>
                <w:rFonts w:ascii="Arial" w:hAnsi="Arial" w:cs="Arial"/>
                <w:color w:val="000000"/>
                <w:sz w:val="24"/>
                <w:szCs w:val="24"/>
                <w:lang w:eastAsia="en-GB"/>
              </w:rPr>
              <w:t>85</w:t>
            </w:r>
            <w:r w:rsidRPr="005F53CF">
              <w:rPr>
                <w:rFonts w:ascii="Arial" w:hAnsi="Arial" w:cs="Arial"/>
                <w:color w:val="000000"/>
                <w:sz w:val="24"/>
                <w:szCs w:val="24"/>
                <w:lang w:eastAsia="en-GB"/>
              </w:rPr>
              <w:t>%</w:t>
            </w:r>
          </w:p>
        </w:tc>
      </w:tr>
      <w:tr w:rsidR="006A78E0" w:rsidRPr="005F53CF" w14:paraId="7DF63F0C" w14:textId="3FA94343" w:rsidTr="00D254E3">
        <w:trPr>
          <w:trHeight w:val="270"/>
        </w:trPr>
        <w:tc>
          <w:tcPr>
            <w:tcW w:w="3261" w:type="dxa"/>
            <w:tcBorders>
              <w:top w:val="nil"/>
              <w:left w:val="single" w:sz="4" w:space="0" w:color="auto"/>
              <w:bottom w:val="single" w:sz="4" w:space="0" w:color="auto"/>
              <w:right w:val="single" w:sz="4" w:space="0" w:color="auto"/>
            </w:tcBorders>
            <w:noWrap/>
            <w:hideMark/>
          </w:tcPr>
          <w:p w14:paraId="50C56C1B" w14:textId="6DB9D27F" w:rsidR="006A78E0" w:rsidRPr="005F53CF" w:rsidRDefault="006A78E0">
            <w:pPr>
              <w:spacing w:after="0"/>
              <w:rPr>
                <w:rFonts w:ascii="Arial" w:hAnsi="Arial" w:cs="Arial"/>
                <w:b/>
                <w:color w:val="000000"/>
                <w:sz w:val="24"/>
                <w:szCs w:val="24"/>
                <w:lang w:eastAsia="en-GB"/>
              </w:rPr>
            </w:pPr>
            <w:r w:rsidRPr="005F53CF">
              <w:rPr>
                <w:rFonts w:ascii="Arial" w:hAnsi="Arial" w:cs="Arial"/>
                <w:b/>
                <w:color w:val="000000"/>
                <w:sz w:val="24"/>
                <w:szCs w:val="24"/>
                <w:lang w:eastAsia="en-GB"/>
              </w:rPr>
              <w:t>Total</w:t>
            </w:r>
          </w:p>
        </w:tc>
        <w:tc>
          <w:tcPr>
            <w:tcW w:w="1418" w:type="dxa"/>
            <w:tcBorders>
              <w:top w:val="nil"/>
              <w:left w:val="nil"/>
              <w:bottom w:val="single" w:sz="4" w:space="0" w:color="auto"/>
              <w:right w:val="single" w:sz="4" w:space="0" w:color="auto"/>
            </w:tcBorders>
            <w:noWrap/>
            <w:hideMark/>
          </w:tcPr>
          <w:p w14:paraId="60EDEC96" w14:textId="0FB16D20" w:rsidR="006A78E0" w:rsidRPr="005F53CF" w:rsidRDefault="006A78E0">
            <w:pPr>
              <w:spacing w:after="0"/>
              <w:jc w:val="right"/>
              <w:rPr>
                <w:rFonts w:ascii="Arial" w:hAnsi="Arial" w:cs="Arial"/>
                <w:b/>
                <w:color w:val="000000"/>
                <w:sz w:val="24"/>
                <w:szCs w:val="24"/>
                <w:lang w:eastAsia="en-GB"/>
              </w:rPr>
            </w:pPr>
            <w:r w:rsidRPr="005F53CF">
              <w:rPr>
                <w:rFonts w:ascii="Arial" w:hAnsi="Arial" w:cs="Arial"/>
                <w:b/>
                <w:color w:val="000000"/>
                <w:sz w:val="24"/>
                <w:szCs w:val="24"/>
                <w:lang w:eastAsia="en-GB"/>
              </w:rPr>
              <w:t>27,055</w:t>
            </w:r>
          </w:p>
        </w:tc>
        <w:tc>
          <w:tcPr>
            <w:tcW w:w="1842" w:type="dxa"/>
            <w:tcBorders>
              <w:top w:val="nil"/>
              <w:left w:val="nil"/>
              <w:bottom w:val="single" w:sz="4" w:space="0" w:color="auto"/>
              <w:right w:val="single" w:sz="4" w:space="0" w:color="auto"/>
            </w:tcBorders>
            <w:noWrap/>
            <w:hideMark/>
          </w:tcPr>
          <w:p w14:paraId="229A25B0" w14:textId="240D67B8" w:rsidR="006A78E0" w:rsidRPr="005F53CF" w:rsidRDefault="006A78E0">
            <w:pPr>
              <w:spacing w:after="0"/>
              <w:jc w:val="right"/>
              <w:rPr>
                <w:rFonts w:ascii="Arial" w:hAnsi="Arial" w:cs="Arial"/>
                <w:b/>
                <w:color w:val="000000"/>
                <w:sz w:val="24"/>
                <w:szCs w:val="24"/>
                <w:lang w:eastAsia="en-GB"/>
              </w:rPr>
            </w:pPr>
            <w:r>
              <w:rPr>
                <w:rFonts w:ascii="Arial" w:hAnsi="Arial" w:cs="Arial"/>
                <w:b/>
                <w:color w:val="000000"/>
                <w:sz w:val="24"/>
                <w:szCs w:val="24"/>
                <w:lang w:eastAsia="en-GB"/>
              </w:rPr>
              <w:t>22,496</w:t>
            </w:r>
          </w:p>
        </w:tc>
        <w:tc>
          <w:tcPr>
            <w:tcW w:w="2127" w:type="dxa"/>
            <w:tcBorders>
              <w:top w:val="nil"/>
              <w:left w:val="nil"/>
              <w:bottom w:val="single" w:sz="4" w:space="0" w:color="auto"/>
              <w:right w:val="single" w:sz="4" w:space="0" w:color="auto"/>
            </w:tcBorders>
            <w:noWrap/>
            <w:hideMark/>
          </w:tcPr>
          <w:p w14:paraId="5BA90373" w14:textId="3150BAD6" w:rsidR="006A78E0" w:rsidRPr="005F53CF" w:rsidRDefault="00BF11DC">
            <w:pPr>
              <w:spacing w:after="0"/>
              <w:jc w:val="right"/>
              <w:rPr>
                <w:rFonts w:ascii="Arial" w:hAnsi="Arial" w:cs="Arial"/>
                <w:b/>
                <w:color w:val="000000"/>
                <w:sz w:val="24"/>
                <w:szCs w:val="24"/>
                <w:lang w:eastAsia="en-GB"/>
              </w:rPr>
            </w:pPr>
            <w:r>
              <w:rPr>
                <w:rFonts w:ascii="Arial" w:hAnsi="Arial" w:cs="Arial"/>
                <w:b/>
                <w:color w:val="000000"/>
                <w:sz w:val="24"/>
                <w:szCs w:val="24"/>
                <w:lang w:eastAsia="en-GB"/>
              </w:rPr>
              <w:t>83</w:t>
            </w:r>
            <w:r w:rsidR="006A78E0" w:rsidRPr="005F53CF">
              <w:rPr>
                <w:rFonts w:ascii="Arial" w:hAnsi="Arial" w:cs="Arial"/>
                <w:b/>
                <w:color w:val="000000"/>
                <w:sz w:val="24"/>
                <w:szCs w:val="24"/>
                <w:lang w:eastAsia="en-GB"/>
              </w:rPr>
              <w:t>%</w:t>
            </w:r>
          </w:p>
        </w:tc>
      </w:tr>
    </w:tbl>
    <w:p w14:paraId="6F1ED9D1" w14:textId="77777777" w:rsidR="00BF11DC" w:rsidRDefault="00BF11DC" w:rsidP="00CE0E61">
      <w:pPr>
        <w:pStyle w:val="Heading5"/>
        <w:numPr>
          <w:ilvl w:val="0"/>
          <w:numId w:val="0"/>
        </w:numPr>
        <w:ind w:left="680"/>
        <w:rPr>
          <w:rFonts w:ascii="Arial" w:hAnsi="Arial" w:cs="Arial"/>
          <w:b/>
          <w:i/>
          <w:color w:val="660033"/>
          <w:sz w:val="24"/>
          <w:szCs w:val="24"/>
        </w:rPr>
      </w:pPr>
    </w:p>
    <w:p w14:paraId="7A507C8F" w14:textId="1B91BC15" w:rsidR="00CE0E61" w:rsidRPr="00CE0E61" w:rsidRDefault="00CE0E61" w:rsidP="0078326A">
      <w:pPr>
        <w:pStyle w:val="Heading5"/>
        <w:numPr>
          <w:ilvl w:val="0"/>
          <w:numId w:val="0"/>
        </w:numPr>
        <w:rPr>
          <w:rFonts w:ascii="Arial" w:hAnsi="Arial" w:cs="Arial"/>
          <w:b/>
          <w:i/>
          <w:color w:val="660033"/>
          <w:sz w:val="24"/>
          <w:szCs w:val="24"/>
        </w:rPr>
      </w:pPr>
      <w:r w:rsidRPr="00CE0E61">
        <w:rPr>
          <w:rFonts w:ascii="Arial" w:hAnsi="Arial" w:cs="Arial"/>
          <w:b/>
          <w:i/>
          <w:color w:val="660033"/>
          <w:sz w:val="24"/>
          <w:szCs w:val="24"/>
        </w:rPr>
        <w:t>EAFRD</w:t>
      </w:r>
    </w:p>
    <w:tbl>
      <w:tblPr>
        <w:tblW w:w="0" w:type="auto"/>
        <w:tblInd w:w="-176" w:type="dxa"/>
        <w:tblLayout w:type="fixed"/>
        <w:tblLook w:val="04A0" w:firstRow="1" w:lastRow="0" w:firstColumn="1" w:lastColumn="0" w:noHBand="0" w:noVBand="1"/>
      </w:tblPr>
      <w:tblGrid>
        <w:gridCol w:w="2411"/>
        <w:gridCol w:w="1842"/>
        <w:gridCol w:w="1701"/>
        <w:gridCol w:w="1701"/>
        <w:gridCol w:w="2127"/>
      </w:tblGrid>
      <w:tr w:rsidR="002525D6" w:rsidRPr="005F53CF" w14:paraId="68223481" w14:textId="77777777" w:rsidTr="0036567A">
        <w:trPr>
          <w:trHeight w:val="290"/>
        </w:trPr>
        <w:tc>
          <w:tcPr>
            <w:tcW w:w="2411" w:type="dxa"/>
            <w:tcBorders>
              <w:top w:val="single" w:sz="4" w:space="0" w:color="auto"/>
              <w:left w:val="single" w:sz="4" w:space="0" w:color="auto"/>
              <w:bottom w:val="single" w:sz="4" w:space="0" w:color="auto"/>
              <w:right w:val="single" w:sz="4" w:space="0" w:color="auto"/>
            </w:tcBorders>
            <w:noWrap/>
            <w:hideMark/>
          </w:tcPr>
          <w:p w14:paraId="5C76799D" w14:textId="77777777" w:rsidR="002525D6" w:rsidRPr="0036567A" w:rsidRDefault="002525D6" w:rsidP="0036567A">
            <w:pPr>
              <w:spacing w:after="0"/>
              <w:jc w:val="center"/>
              <w:rPr>
                <w:rFonts w:ascii="Arial" w:hAnsi="Arial" w:cs="Arial"/>
                <w:b/>
                <w:color w:val="000000"/>
                <w:sz w:val="24"/>
                <w:szCs w:val="24"/>
                <w:lang w:eastAsia="en-GB"/>
              </w:rPr>
            </w:pPr>
            <w:r w:rsidRPr="0036567A">
              <w:rPr>
                <w:rFonts w:ascii="Arial" w:hAnsi="Arial" w:cs="Arial"/>
                <w:b/>
                <w:color w:val="000000"/>
                <w:sz w:val="24"/>
                <w:szCs w:val="24"/>
                <w:lang w:eastAsia="en-GB"/>
              </w:rPr>
              <w:t>Element</w:t>
            </w:r>
          </w:p>
        </w:tc>
        <w:tc>
          <w:tcPr>
            <w:tcW w:w="1842" w:type="dxa"/>
            <w:tcBorders>
              <w:top w:val="single" w:sz="4" w:space="0" w:color="auto"/>
              <w:left w:val="nil"/>
              <w:bottom w:val="single" w:sz="4" w:space="0" w:color="auto"/>
              <w:right w:val="single" w:sz="4" w:space="0" w:color="auto"/>
            </w:tcBorders>
            <w:noWrap/>
            <w:hideMark/>
          </w:tcPr>
          <w:p w14:paraId="48246E9A" w14:textId="5FDCD41D" w:rsidR="002525D6" w:rsidRPr="0036567A" w:rsidRDefault="002525D6" w:rsidP="0036567A">
            <w:pPr>
              <w:spacing w:after="0"/>
              <w:jc w:val="center"/>
              <w:rPr>
                <w:rFonts w:ascii="Arial" w:hAnsi="Arial" w:cs="Arial"/>
                <w:b/>
                <w:color w:val="000000"/>
                <w:sz w:val="24"/>
                <w:szCs w:val="24"/>
                <w:lang w:eastAsia="en-GB"/>
              </w:rPr>
            </w:pPr>
            <w:r w:rsidRPr="0036567A">
              <w:rPr>
                <w:rFonts w:ascii="Arial" w:hAnsi="Arial" w:cs="Arial"/>
                <w:b/>
                <w:color w:val="000000"/>
                <w:sz w:val="24"/>
                <w:szCs w:val="24"/>
                <w:lang w:eastAsia="en-GB"/>
              </w:rPr>
              <w:t>Businesses development</w:t>
            </w:r>
          </w:p>
        </w:tc>
        <w:tc>
          <w:tcPr>
            <w:tcW w:w="1701" w:type="dxa"/>
            <w:tcBorders>
              <w:top w:val="single" w:sz="4" w:space="0" w:color="auto"/>
              <w:left w:val="nil"/>
              <w:bottom w:val="single" w:sz="4" w:space="0" w:color="auto"/>
              <w:right w:val="single" w:sz="4" w:space="0" w:color="auto"/>
            </w:tcBorders>
            <w:noWrap/>
            <w:hideMark/>
          </w:tcPr>
          <w:p w14:paraId="38B3D95F" w14:textId="77777777" w:rsidR="002525D6" w:rsidRPr="0036567A" w:rsidRDefault="002525D6" w:rsidP="0036567A">
            <w:pPr>
              <w:spacing w:after="0"/>
              <w:jc w:val="center"/>
              <w:rPr>
                <w:rFonts w:ascii="Arial" w:hAnsi="Arial" w:cs="Arial"/>
                <w:b/>
                <w:color w:val="000000"/>
                <w:sz w:val="24"/>
                <w:szCs w:val="24"/>
                <w:lang w:eastAsia="en-GB"/>
              </w:rPr>
            </w:pPr>
            <w:r w:rsidRPr="0036567A">
              <w:rPr>
                <w:rFonts w:ascii="Arial" w:hAnsi="Arial" w:cs="Arial"/>
                <w:b/>
                <w:color w:val="000000"/>
                <w:sz w:val="24"/>
                <w:szCs w:val="24"/>
                <w:lang w:eastAsia="en-GB"/>
              </w:rPr>
              <w:t>Food processing</w:t>
            </w:r>
          </w:p>
        </w:tc>
        <w:tc>
          <w:tcPr>
            <w:tcW w:w="1701" w:type="dxa"/>
            <w:tcBorders>
              <w:top w:val="single" w:sz="4" w:space="0" w:color="auto"/>
              <w:left w:val="nil"/>
              <w:bottom w:val="single" w:sz="4" w:space="0" w:color="auto"/>
              <w:right w:val="single" w:sz="4" w:space="0" w:color="auto"/>
            </w:tcBorders>
            <w:noWrap/>
            <w:hideMark/>
          </w:tcPr>
          <w:p w14:paraId="66A6D9AA" w14:textId="77777777" w:rsidR="002525D6" w:rsidRPr="0036567A" w:rsidRDefault="002525D6" w:rsidP="0036567A">
            <w:pPr>
              <w:spacing w:after="0"/>
              <w:jc w:val="center"/>
              <w:rPr>
                <w:rFonts w:ascii="Arial" w:hAnsi="Arial" w:cs="Arial"/>
                <w:b/>
                <w:color w:val="000000"/>
                <w:sz w:val="24"/>
                <w:szCs w:val="24"/>
                <w:lang w:eastAsia="en-GB"/>
              </w:rPr>
            </w:pPr>
            <w:r w:rsidRPr="0036567A">
              <w:rPr>
                <w:rFonts w:ascii="Arial" w:hAnsi="Arial" w:cs="Arial"/>
                <w:b/>
                <w:color w:val="000000"/>
                <w:sz w:val="24"/>
                <w:szCs w:val="24"/>
                <w:lang w:eastAsia="en-GB"/>
              </w:rPr>
              <w:t>Tourism</w:t>
            </w:r>
          </w:p>
        </w:tc>
        <w:tc>
          <w:tcPr>
            <w:tcW w:w="2127" w:type="dxa"/>
            <w:tcBorders>
              <w:top w:val="single" w:sz="4" w:space="0" w:color="auto"/>
              <w:left w:val="nil"/>
              <w:bottom w:val="single" w:sz="4" w:space="0" w:color="auto"/>
              <w:right w:val="single" w:sz="4" w:space="0" w:color="auto"/>
            </w:tcBorders>
            <w:noWrap/>
            <w:hideMark/>
          </w:tcPr>
          <w:p w14:paraId="29F94BE4" w14:textId="77777777" w:rsidR="002525D6" w:rsidRPr="0036567A" w:rsidRDefault="002525D6" w:rsidP="0036567A">
            <w:pPr>
              <w:spacing w:after="0"/>
              <w:jc w:val="center"/>
              <w:rPr>
                <w:rFonts w:ascii="Arial" w:hAnsi="Arial" w:cs="Arial"/>
                <w:b/>
                <w:color w:val="000000"/>
                <w:sz w:val="24"/>
                <w:szCs w:val="24"/>
                <w:lang w:eastAsia="en-GB"/>
              </w:rPr>
            </w:pPr>
            <w:r w:rsidRPr="0036567A">
              <w:rPr>
                <w:rFonts w:ascii="Arial" w:hAnsi="Arial" w:cs="Arial"/>
                <w:b/>
                <w:color w:val="000000"/>
                <w:sz w:val="24"/>
                <w:szCs w:val="24"/>
                <w:lang w:eastAsia="en-GB"/>
              </w:rPr>
              <w:t>Total</w:t>
            </w:r>
          </w:p>
        </w:tc>
      </w:tr>
      <w:tr w:rsidR="002525D6" w:rsidRPr="005F53CF" w14:paraId="4D1E618D" w14:textId="77777777" w:rsidTr="0036567A">
        <w:trPr>
          <w:trHeight w:val="290"/>
        </w:trPr>
        <w:tc>
          <w:tcPr>
            <w:tcW w:w="2411" w:type="dxa"/>
            <w:tcBorders>
              <w:top w:val="nil"/>
              <w:left w:val="single" w:sz="4" w:space="0" w:color="auto"/>
              <w:bottom w:val="single" w:sz="4" w:space="0" w:color="auto"/>
              <w:right w:val="single" w:sz="4" w:space="0" w:color="auto"/>
            </w:tcBorders>
            <w:noWrap/>
            <w:hideMark/>
          </w:tcPr>
          <w:p w14:paraId="03451E18" w14:textId="011C780A" w:rsidR="002525D6" w:rsidRPr="005F53CF" w:rsidRDefault="002525D6">
            <w:pPr>
              <w:spacing w:after="0"/>
              <w:rPr>
                <w:rFonts w:ascii="Arial" w:hAnsi="Arial" w:cs="Arial"/>
                <w:color w:val="000000"/>
                <w:sz w:val="24"/>
                <w:szCs w:val="24"/>
                <w:lang w:eastAsia="en-GB"/>
              </w:rPr>
            </w:pPr>
            <w:r>
              <w:rPr>
                <w:rFonts w:ascii="Arial" w:hAnsi="Arial" w:cs="Arial"/>
                <w:color w:val="000000"/>
                <w:sz w:val="24"/>
                <w:szCs w:val="24"/>
                <w:lang w:eastAsia="en-GB"/>
              </w:rPr>
              <w:t>Funding Available</w:t>
            </w:r>
          </w:p>
        </w:tc>
        <w:tc>
          <w:tcPr>
            <w:tcW w:w="1842" w:type="dxa"/>
            <w:tcBorders>
              <w:top w:val="nil"/>
              <w:left w:val="nil"/>
              <w:bottom w:val="single" w:sz="4" w:space="0" w:color="auto"/>
              <w:right w:val="single" w:sz="4" w:space="0" w:color="auto"/>
            </w:tcBorders>
            <w:noWrap/>
            <w:hideMark/>
          </w:tcPr>
          <w:p w14:paraId="0DA04169" w14:textId="77777777" w:rsidR="002525D6" w:rsidRPr="005F53CF" w:rsidRDefault="002525D6">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£2.83</w:t>
            </w:r>
          </w:p>
        </w:tc>
        <w:tc>
          <w:tcPr>
            <w:tcW w:w="1701" w:type="dxa"/>
            <w:tcBorders>
              <w:top w:val="nil"/>
              <w:left w:val="nil"/>
              <w:bottom w:val="single" w:sz="4" w:space="0" w:color="auto"/>
              <w:right w:val="single" w:sz="4" w:space="0" w:color="auto"/>
            </w:tcBorders>
            <w:noWrap/>
            <w:hideMark/>
          </w:tcPr>
          <w:p w14:paraId="57F9FF95" w14:textId="77777777" w:rsidR="002525D6" w:rsidRPr="005F53CF" w:rsidRDefault="002525D6">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£1.75</w:t>
            </w:r>
          </w:p>
        </w:tc>
        <w:tc>
          <w:tcPr>
            <w:tcW w:w="1701" w:type="dxa"/>
            <w:tcBorders>
              <w:top w:val="nil"/>
              <w:left w:val="nil"/>
              <w:bottom w:val="single" w:sz="4" w:space="0" w:color="auto"/>
              <w:right w:val="single" w:sz="4" w:space="0" w:color="auto"/>
            </w:tcBorders>
            <w:noWrap/>
            <w:hideMark/>
          </w:tcPr>
          <w:p w14:paraId="2CCEEEF1" w14:textId="3C35D85F" w:rsidR="002525D6" w:rsidRPr="005F53CF" w:rsidRDefault="002525D6">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£3.</w:t>
            </w:r>
            <w:r>
              <w:rPr>
                <w:rFonts w:ascii="Arial" w:hAnsi="Arial" w:cs="Arial"/>
                <w:color w:val="000000"/>
                <w:sz w:val="24"/>
                <w:szCs w:val="24"/>
                <w:lang w:eastAsia="en-GB"/>
              </w:rPr>
              <w:t>17</w:t>
            </w:r>
          </w:p>
        </w:tc>
        <w:tc>
          <w:tcPr>
            <w:tcW w:w="2127" w:type="dxa"/>
            <w:tcBorders>
              <w:top w:val="nil"/>
              <w:left w:val="nil"/>
              <w:bottom w:val="single" w:sz="4" w:space="0" w:color="auto"/>
              <w:right w:val="single" w:sz="4" w:space="0" w:color="auto"/>
            </w:tcBorders>
            <w:noWrap/>
            <w:hideMark/>
          </w:tcPr>
          <w:p w14:paraId="19B1580A" w14:textId="78BA8BF3" w:rsidR="002525D6" w:rsidRPr="005F53CF" w:rsidRDefault="002525D6">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£7.</w:t>
            </w:r>
            <w:r>
              <w:rPr>
                <w:rFonts w:ascii="Arial" w:hAnsi="Arial" w:cs="Arial"/>
                <w:color w:val="000000"/>
                <w:sz w:val="24"/>
                <w:szCs w:val="24"/>
                <w:lang w:eastAsia="en-GB"/>
              </w:rPr>
              <w:t>75</w:t>
            </w:r>
          </w:p>
        </w:tc>
      </w:tr>
      <w:tr w:rsidR="002525D6" w:rsidRPr="005F53CF" w14:paraId="294D7B03" w14:textId="77777777" w:rsidTr="0036567A">
        <w:trPr>
          <w:trHeight w:val="290"/>
        </w:trPr>
        <w:tc>
          <w:tcPr>
            <w:tcW w:w="2411" w:type="dxa"/>
            <w:tcBorders>
              <w:top w:val="nil"/>
              <w:left w:val="single" w:sz="4" w:space="0" w:color="auto"/>
              <w:bottom w:val="single" w:sz="4" w:space="0" w:color="auto"/>
              <w:right w:val="single" w:sz="4" w:space="0" w:color="auto"/>
            </w:tcBorders>
            <w:noWrap/>
            <w:hideMark/>
          </w:tcPr>
          <w:p w14:paraId="219134C4" w14:textId="77777777" w:rsidR="002525D6" w:rsidRPr="005F53CF" w:rsidRDefault="002525D6">
            <w:pPr>
              <w:spacing w:after="0"/>
              <w:rPr>
                <w:rFonts w:ascii="Arial" w:hAnsi="Arial" w:cs="Arial"/>
                <w:color w:val="000000"/>
                <w:sz w:val="24"/>
                <w:szCs w:val="24"/>
                <w:lang w:eastAsia="en-GB"/>
              </w:rPr>
            </w:pPr>
            <w:r w:rsidRPr="005F53CF">
              <w:rPr>
                <w:rFonts w:ascii="Arial" w:hAnsi="Arial" w:cs="Arial"/>
                <w:color w:val="000000"/>
                <w:sz w:val="24"/>
                <w:szCs w:val="24"/>
                <w:lang w:eastAsia="en-GB"/>
              </w:rPr>
              <w:t>Current pipeline spend</w:t>
            </w:r>
          </w:p>
        </w:tc>
        <w:tc>
          <w:tcPr>
            <w:tcW w:w="1842" w:type="dxa"/>
            <w:tcBorders>
              <w:top w:val="nil"/>
              <w:left w:val="nil"/>
              <w:bottom w:val="single" w:sz="4" w:space="0" w:color="auto"/>
              <w:right w:val="single" w:sz="4" w:space="0" w:color="auto"/>
            </w:tcBorders>
            <w:noWrap/>
            <w:hideMark/>
          </w:tcPr>
          <w:p w14:paraId="5AA2152C" w14:textId="2797F3F9" w:rsidR="002525D6" w:rsidRPr="005F53CF" w:rsidRDefault="002525D6" w:rsidP="002525D6">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£2.</w:t>
            </w:r>
            <w:r>
              <w:rPr>
                <w:rFonts w:ascii="Arial" w:hAnsi="Arial" w:cs="Arial"/>
                <w:color w:val="000000"/>
                <w:sz w:val="24"/>
                <w:szCs w:val="24"/>
                <w:lang w:eastAsia="en-GB"/>
              </w:rPr>
              <w:t>42</w:t>
            </w:r>
          </w:p>
        </w:tc>
        <w:tc>
          <w:tcPr>
            <w:tcW w:w="1701" w:type="dxa"/>
            <w:tcBorders>
              <w:top w:val="nil"/>
              <w:left w:val="nil"/>
              <w:bottom w:val="single" w:sz="4" w:space="0" w:color="auto"/>
              <w:right w:val="single" w:sz="4" w:space="0" w:color="auto"/>
            </w:tcBorders>
            <w:noWrap/>
            <w:hideMark/>
          </w:tcPr>
          <w:p w14:paraId="17132E40" w14:textId="77777777" w:rsidR="002525D6" w:rsidRPr="005F53CF" w:rsidRDefault="002525D6">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£0.78</w:t>
            </w:r>
          </w:p>
        </w:tc>
        <w:tc>
          <w:tcPr>
            <w:tcW w:w="1701" w:type="dxa"/>
            <w:tcBorders>
              <w:top w:val="nil"/>
              <w:left w:val="nil"/>
              <w:bottom w:val="single" w:sz="4" w:space="0" w:color="auto"/>
              <w:right w:val="single" w:sz="4" w:space="0" w:color="auto"/>
            </w:tcBorders>
            <w:noWrap/>
            <w:hideMark/>
          </w:tcPr>
          <w:p w14:paraId="55E20AFD" w14:textId="0B775354" w:rsidR="002525D6" w:rsidRPr="005F53CF" w:rsidRDefault="002525D6" w:rsidP="00751901">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£5.</w:t>
            </w:r>
            <w:r w:rsidR="00751901">
              <w:rPr>
                <w:rFonts w:ascii="Arial" w:hAnsi="Arial" w:cs="Arial"/>
                <w:color w:val="000000"/>
                <w:sz w:val="24"/>
                <w:szCs w:val="24"/>
                <w:lang w:eastAsia="en-GB"/>
              </w:rPr>
              <w:t>58</w:t>
            </w:r>
          </w:p>
        </w:tc>
        <w:tc>
          <w:tcPr>
            <w:tcW w:w="2127" w:type="dxa"/>
            <w:tcBorders>
              <w:top w:val="nil"/>
              <w:left w:val="nil"/>
              <w:bottom w:val="single" w:sz="4" w:space="0" w:color="auto"/>
              <w:right w:val="single" w:sz="4" w:space="0" w:color="auto"/>
            </w:tcBorders>
            <w:noWrap/>
            <w:hideMark/>
          </w:tcPr>
          <w:p w14:paraId="5BCC7F86" w14:textId="7BC47602" w:rsidR="002525D6" w:rsidRPr="005F53CF" w:rsidRDefault="002525D6" w:rsidP="00751901">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£8.</w:t>
            </w:r>
            <w:r w:rsidR="00751901">
              <w:rPr>
                <w:rFonts w:ascii="Arial" w:hAnsi="Arial" w:cs="Arial"/>
                <w:color w:val="000000"/>
                <w:sz w:val="24"/>
                <w:szCs w:val="24"/>
                <w:lang w:eastAsia="en-GB"/>
              </w:rPr>
              <w:t>79</w:t>
            </w:r>
          </w:p>
        </w:tc>
      </w:tr>
      <w:tr w:rsidR="002525D6" w:rsidRPr="005F53CF" w14:paraId="7BF0C70A" w14:textId="77777777" w:rsidTr="0036567A">
        <w:trPr>
          <w:trHeight w:val="290"/>
        </w:trPr>
        <w:tc>
          <w:tcPr>
            <w:tcW w:w="2411" w:type="dxa"/>
            <w:tcBorders>
              <w:top w:val="nil"/>
              <w:left w:val="single" w:sz="4" w:space="0" w:color="auto"/>
              <w:bottom w:val="single" w:sz="4" w:space="0" w:color="auto"/>
              <w:right w:val="single" w:sz="4" w:space="0" w:color="auto"/>
            </w:tcBorders>
            <w:noWrap/>
            <w:hideMark/>
          </w:tcPr>
          <w:p w14:paraId="1C74FE1B" w14:textId="77777777" w:rsidR="002525D6" w:rsidRPr="005F53CF" w:rsidRDefault="002525D6">
            <w:pPr>
              <w:spacing w:after="0"/>
              <w:rPr>
                <w:rFonts w:ascii="Arial" w:hAnsi="Arial" w:cs="Arial"/>
                <w:color w:val="000000"/>
                <w:sz w:val="24"/>
                <w:szCs w:val="24"/>
                <w:lang w:eastAsia="en-GB"/>
              </w:rPr>
            </w:pPr>
            <w:r w:rsidRPr="005F53CF">
              <w:rPr>
                <w:rFonts w:ascii="Arial" w:hAnsi="Arial" w:cs="Arial"/>
                <w:color w:val="000000"/>
                <w:sz w:val="24"/>
                <w:szCs w:val="24"/>
                <w:lang w:eastAsia="en-GB"/>
              </w:rPr>
              <w:t>Under or over programmed</w:t>
            </w:r>
          </w:p>
        </w:tc>
        <w:tc>
          <w:tcPr>
            <w:tcW w:w="1842" w:type="dxa"/>
            <w:tcBorders>
              <w:top w:val="nil"/>
              <w:left w:val="nil"/>
              <w:bottom w:val="single" w:sz="4" w:space="0" w:color="auto"/>
              <w:right w:val="single" w:sz="4" w:space="0" w:color="auto"/>
            </w:tcBorders>
            <w:noWrap/>
            <w:hideMark/>
          </w:tcPr>
          <w:p w14:paraId="4F450762" w14:textId="3AF02948" w:rsidR="002525D6" w:rsidRPr="005F53CF" w:rsidRDefault="002525D6">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-£0.</w:t>
            </w:r>
            <w:r w:rsidR="00822B6A">
              <w:rPr>
                <w:rFonts w:ascii="Arial" w:hAnsi="Arial" w:cs="Arial"/>
                <w:color w:val="000000"/>
                <w:sz w:val="24"/>
                <w:szCs w:val="24"/>
                <w:lang w:eastAsia="en-GB"/>
              </w:rPr>
              <w:t>4</w:t>
            </w:r>
          </w:p>
        </w:tc>
        <w:tc>
          <w:tcPr>
            <w:tcW w:w="1701" w:type="dxa"/>
            <w:tcBorders>
              <w:top w:val="nil"/>
              <w:left w:val="nil"/>
              <w:bottom w:val="single" w:sz="4" w:space="0" w:color="auto"/>
              <w:right w:val="single" w:sz="4" w:space="0" w:color="auto"/>
            </w:tcBorders>
            <w:noWrap/>
            <w:hideMark/>
          </w:tcPr>
          <w:p w14:paraId="26390F92" w14:textId="77777777" w:rsidR="002525D6" w:rsidRPr="005F53CF" w:rsidRDefault="002525D6">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-£0.97</w:t>
            </w:r>
          </w:p>
        </w:tc>
        <w:tc>
          <w:tcPr>
            <w:tcW w:w="1701" w:type="dxa"/>
            <w:tcBorders>
              <w:top w:val="nil"/>
              <w:left w:val="nil"/>
              <w:bottom w:val="single" w:sz="4" w:space="0" w:color="auto"/>
              <w:right w:val="single" w:sz="4" w:space="0" w:color="auto"/>
            </w:tcBorders>
            <w:noWrap/>
            <w:hideMark/>
          </w:tcPr>
          <w:p w14:paraId="76172D20" w14:textId="2A6C810E" w:rsidR="002525D6" w:rsidRPr="005F53CF" w:rsidRDefault="002525D6">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+£2.</w:t>
            </w:r>
            <w:r w:rsidR="00873DC3">
              <w:rPr>
                <w:rFonts w:ascii="Arial" w:hAnsi="Arial" w:cs="Arial"/>
                <w:color w:val="000000"/>
                <w:sz w:val="24"/>
                <w:szCs w:val="24"/>
                <w:lang w:eastAsia="en-GB"/>
              </w:rPr>
              <w:t>41</w:t>
            </w:r>
          </w:p>
        </w:tc>
        <w:tc>
          <w:tcPr>
            <w:tcW w:w="2127" w:type="dxa"/>
            <w:tcBorders>
              <w:top w:val="nil"/>
              <w:left w:val="nil"/>
              <w:bottom w:val="single" w:sz="4" w:space="0" w:color="auto"/>
              <w:right w:val="single" w:sz="4" w:space="0" w:color="auto"/>
            </w:tcBorders>
            <w:noWrap/>
            <w:hideMark/>
          </w:tcPr>
          <w:p w14:paraId="722B23B3" w14:textId="4E4987AE" w:rsidR="002525D6" w:rsidRPr="005F53CF" w:rsidRDefault="002525D6" w:rsidP="007E54E6">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+£1.</w:t>
            </w:r>
            <w:r w:rsidR="007E54E6">
              <w:rPr>
                <w:rFonts w:ascii="Arial" w:hAnsi="Arial" w:cs="Arial"/>
                <w:color w:val="000000"/>
                <w:sz w:val="24"/>
                <w:szCs w:val="24"/>
                <w:lang w:eastAsia="en-GB"/>
              </w:rPr>
              <w:t>04</w:t>
            </w:r>
          </w:p>
        </w:tc>
      </w:tr>
      <w:tr w:rsidR="002525D6" w:rsidRPr="005F53CF" w14:paraId="553247B6" w14:textId="77777777" w:rsidTr="0036567A">
        <w:trPr>
          <w:trHeight w:val="290"/>
        </w:trPr>
        <w:tc>
          <w:tcPr>
            <w:tcW w:w="2411" w:type="dxa"/>
            <w:tcBorders>
              <w:top w:val="nil"/>
              <w:left w:val="single" w:sz="4" w:space="0" w:color="auto"/>
              <w:bottom w:val="single" w:sz="4" w:space="0" w:color="auto"/>
              <w:right w:val="single" w:sz="4" w:space="0" w:color="auto"/>
            </w:tcBorders>
            <w:noWrap/>
            <w:hideMark/>
          </w:tcPr>
          <w:p w14:paraId="20A9BDBA" w14:textId="77777777" w:rsidR="002525D6" w:rsidRPr="005F53CF" w:rsidRDefault="002525D6">
            <w:pPr>
              <w:spacing w:after="0"/>
              <w:rPr>
                <w:rFonts w:ascii="Arial" w:hAnsi="Arial" w:cs="Arial"/>
                <w:color w:val="000000"/>
                <w:sz w:val="24"/>
                <w:szCs w:val="24"/>
                <w:lang w:eastAsia="en-GB"/>
              </w:rPr>
            </w:pPr>
            <w:r w:rsidRPr="005F53CF">
              <w:rPr>
                <w:rFonts w:ascii="Arial" w:hAnsi="Arial" w:cs="Arial"/>
                <w:color w:val="000000"/>
                <w:sz w:val="24"/>
                <w:szCs w:val="24"/>
                <w:lang w:eastAsia="en-GB"/>
              </w:rPr>
              <w:t>Contracted</w:t>
            </w:r>
          </w:p>
        </w:tc>
        <w:tc>
          <w:tcPr>
            <w:tcW w:w="1842" w:type="dxa"/>
            <w:tcBorders>
              <w:top w:val="nil"/>
              <w:left w:val="nil"/>
              <w:bottom w:val="single" w:sz="4" w:space="0" w:color="auto"/>
              <w:right w:val="single" w:sz="4" w:space="0" w:color="auto"/>
            </w:tcBorders>
            <w:noWrap/>
            <w:hideMark/>
          </w:tcPr>
          <w:p w14:paraId="2AE03D2C" w14:textId="75E6EB16" w:rsidR="002525D6" w:rsidRPr="005F53CF" w:rsidRDefault="002525D6">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w:t>
            </w:r>
            <w:r w:rsidR="00822B6A">
              <w:rPr>
                <w:rFonts w:ascii="Arial" w:hAnsi="Arial" w:cs="Arial"/>
                <w:color w:val="000000"/>
                <w:sz w:val="24"/>
                <w:szCs w:val="24"/>
                <w:lang w:eastAsia="en-GB"/>
              </w:rPr>
              <w:t>1.02</w:t>
            </w:r>
          </w:p>
        </w:tc>
        <w:tc>
          <w:tcPr>
            <w:tcW w:w="1701" w:type="dxa"/>
            <w:tcBorders>
              <w:top w:val="nil"/>
              <w:left w:val="nil"/>
              <w:bottom w:val="single" w:sz="4" w:space="0" w:color="auto"/>
              <w:right w:val="single" w:sz="4" w:space="0" w:color="auto"/>
            </w:tcBorders>
            <w:noWrap/>
            <w:hideMark/>
          </w:tcPr>
          <w:p w14:paraId="77978817" w14:textId="36D592C5" w:rsidR="002525D6" w:rsidRPr="005F53CF" w:rsidRDefault="002525D6">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£0.</w:t>
            </w:r>
            <w:r w:rsidR="008B3058">
              <w:rPr>
                <w:rFonts w:ascii="Arial" w:hAnsi="Arial" w:cs="Arial"/>
                <w:color w:val="000000"/>
                <w:sz w:val="24"/>
                <w:szCs w:val="24"/>
                <w:lang w:eastAsia="en-GB"/>
              </w:rPr>
              <w:t>74</w:t>
            </w:r>
          </w:p>
        </w:tc>
        <w:tc>
          <w:tcPr>
            <w:tcW w:w="1701" w:type="dxa"/>
            <w:tcBorders>
              <w:top w:val="nil"/>
              <w:left w:val="nil"/>
              <w:bottom w:val="single" w:sz="4" w:space="0" w:color="auto"/>
              <w:right w:val="single" w:sz="4" w:space="0" w:color="auto"/>
            </w:tcBorders>
            <w:noWrap/>
            <w:hideMark/>
          </w:tcPr>
          <w:p w14:paraId="0B4CC2A9" w14:textId="3A6C5912" w:rsidR="002525D6" w:rsidRPr="005F53CF" w:rsidRDefault="002525D6">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£1.</w:t>
            </w:r>
            <w:r w:rsidR="00873DC3">
              <w:rPr>
                <w:rFonts w:ascii="Arial" w:hAnsi="Arial" w:cs="Arial"/>
                <w:color w:val="000000"/>
                <w:sz w:val="24"/>
                <w:szCs w:val="24"/>
                <w:lang w:eastAsia="en-GB"/>
              </w:rPr>
              <w:t>65</w:t>
            </w:r>
          </w:p>
        </w:tc>
        <w:tc>
          <w:tcPr>
            <w:tcW w:w="2127" w:type="dxa"/>
            <w:tcBorders>
              <w:top w:val="nil"/>
              <w:left w:val="nil"/>
              <w:bottom w:val="single" w:sz="4" w:space="0" w:color="auto"/>
              <w:right w:val="single" w:sz="4" w:space="0" w:color="auto"/>
            </w:tcBorders>
            <w:noWrap/>
            <w:hideMark/>
          </w:tcPr>
          <w:p w14:paraId="1AD47AE1" w14:textId="0366EB5F" w:rsidR="002525D6" w:rsidRPr="005F53CF" w:rsidRDefault="002525D6" w:rsidP="008B3058">
            <w:pPr>
              <w:spacing w:after="0"/>
              <w:jc w:val="right"/>
              <w:rPr>
                <w:rFonts w:ascii="Arial" w:hAnsi="Arial" w:cs="Arial"/>
                <w:color w:val="000000"/>
                <w:sz w:val="24"/>
                <w:szCs w:val="24"/>
                <w:lang w:eastAsia="en-GB"/>
              </w:rPr>
            </w:pPr>
            <w:r w:rsidRPr="005F53CF">
              <w:rPr>
                <w:rFonts w:ascii="Arial" w:hAnsi="Arial" w:cs="Arial"/>
                <w:color w:val="000000"/>
                <w:sz w:val="24"/>
                <w:szCs w:val="24"/>
                <w:lang w:eastAsia="en-GB"/>
              </w:rPr>
              <w:t>£</w:t>
            </w:r>
            <w:r w:rsidR="008B3058">
              <w:rPr>
                <w:rFonts w:ascii="Arial" w:hAnsi="Arial" w:cs="Arial"/>
                <w:color w:val="000000"/>
                <w:sz w:val="24"/>
                <w:szCs w:val="24"/>
                <w:lang w:eastAsia="en-GB"/>
              </w:rPr>
              <w:t>3</w:t>
            </w:r>
            <w:r w:rsidRPr="005F53CF">
              <w:rPr>
                <w:rFonts w:ascii="Arial" w:hAnsi="Arial" w:cs="Arial"/>
                <w:color w:val="000000"/>
                <w:sz w:val="24"/>
                <w:szCs w:val="24"/>
                <w:lang w:eastAsia="en-GB"/>
              </w:rPr>
              <w:t>.</w:t>
            </w:r>
            <w:r w:rsidR="008B3058">
              <w:rPr>
                <w:rFonts w:ascii="Arial" w:hAnsi="Arial" w:cs="Arial"/>
                <w:color w:val="000000"/>
                <w:sz w:val="24"/>
                <w:szCs w:val="24"/>
                <w:lang w:eastAsia="en-GB"/>
              </w:rPr>
              <w:t>24</w:t>
            </w:r>
          </w:p>
        </w:tc>
      </w:tr>
      <w:tr w:rsidR="002525D6" w:rsidRPr="005F53CF" w14:paraId="178AC388" w14:textId="77777777" w:rsidTr="0036567A">
        <w:trPr>
          <w:trHeight w:val="290"/>
        </w:trPr>
        <w:tc>
          <w:tcPr>
            <w:tcW w:w="2411" w:type="dxa"/>
            <w:tcBorders>
              <w:top w:val="nil"/>
              <w:left w:val="single" w:sz="4" w:space="0" w:color="auto"/>
              <w:bottom w:val="single" w:sz="4" w:space="0" w:color="auto"/>
              <w:right w:val="single" w:sz="4" w:space="0" w:color="auto"/>
            </w:tcBorders>
            <w:noWrap/>
            <w:hideMark/>
          </w:tcPr>
          <w:p w14:paraId="04F5E7BD" w14:textId="77777777" w:rsidR="002525D6" w:rsidRPr="005F53CF" w:rsidRDefault="002525D6">
            <w:pPr>
              <w:spacing w:after="0"/>
              <w:rPr>
                <w:rFonts w:ascii="Arial" w:hAnsi="Arial" w:cs="Arial"/>
                <w:color w:val="000000"/>
                <w:sz w:val="24"/>
                <w:szCs w:val="24"/>
                <w:lang w:eastAsia="en-GB"/>
              </w:rPr>
            </w:pPr>
            <w:r w:rsidRPr="005F53CF">
              <w:rPr>
                <w:rFonts w:ascii="Arial" w:hAnsi="Arial" w:cs="Arial"/>
                <w:color w:val="000000"/>
                <w:sz w:val="24"/>
                <w:szCs w:val="24"/>
                <w:lang w:eastAsia="en-GB"/>
              </w:rPr>
              <w:t>Number of projects contracted</w:t>
            </w:r>
          </w:p>
        </w:tc>
        <w:tc>
          <w:tcPr>
            <w:tcW w:w="1842" w:type="dxa"/>
            <w:tcBorders>
              <w:top w:val="nil"/>
              <w:left w:val="nil"/>
              <w:bottom w:val="single" w:sz="4" w:space="0" w:color="auto"/>
              <w:right w:val="single" w:sz="4" w:space="0" w:color="auto"/>
            </w:tcBorders>
            <w:noWrap/>
            <w:hideMark/>
          </w:tcPr>
          <w:p w14:paraId="68C7F03C" w14:textId="1E603E6E" w:rsidR="002525D6" w:rsidRPr="005F53CF" w:rsidRDefault="00873DC3">
            <w:pPr>
              <w:spacing w:after="0"/>
              <w:jc w:val="right"/>
              <w:rPr>
                <w:rFonts w:ascii="Arial" w:hAnsi="Arial" w:cs="Arial"/>
                <w:color w:val="000000"/>
                <w:sz w:val="24"/>
                <w:szCs w:val="24"/>
                <w:lang w:eastAsia="en-GB"/>
              </w:rPr>
            </w:pPr>
            <w:r>
              <w:rPr>
                <w:rFonts w:ascii="Arial" w:hAnsi="Arial" w:cs="Arial"/>
                <w:color w:val="000000"/>
                <w:sz w:val="24"/>
                <w:szCs w:val="24"/>
                <w:lang w:eastAsia="en-GB"/>
              </w:rPr>
              <w:t>9</w:t>
            </w:r>
          </w:p>
        </w:tc>
        <w:tc>
          <w:tcPr>
            <w:tcW w:w="1701" w:type="dxa"/>
            <w:tcBorders>
              <w:top w:val="nil"/>
              <w:left w:val="nil"/>
              <w:bottom w:val="single" w:sz="4" w:space="0" w:color="auto"/>
              <w:right w:val="single" w:sz="4" w:space="0" w:color="auto"/>
            </w:tcBorders>
            <w:noWrap/>
            <w:hideMark/>
          </w:tcPr>
          <w:p w14:paraId="59581EF0" w14:textId="6D47CE29" w:rsidR="002525D6" w:rsidRPr="005F53CF" w:rsidRDefault="00873DC3">
            <w:pPr>
              <w:spacing w:after="0"/>
              <w:jc w:val="right"/>
              <w:rPr>
                <w:rFonts w:ascii="Arial" w:hAnsi="Arial" w:cs="Arial"/>
                <w:color w:val="000000"/>
                <w:sz w:val="24"/>
                <w:szCs w:val="24"/>
                <w:lang w:eastAsia="en-GB"/>
              </w:rPr>
            </w:pPr>
            <w:r>
              <w:rPr>
                <w:rFonts w:ascii="Arial" w:hAnsi="Arial" w:cs="Arial"/>
                <w:color w:val="000000"/>
                <w:sz w:val="24"/>
                <w:szCs w:val="24"/>
                <w:lang w:eastAsia="en-GB"/>
              </w:rPr>
              <w:t>5</w:t>
            </w:r>
          </w:p>
        </w:tc>
        <w:tc>
          <w:tcPr>
            <w:tcW w:w="1701" w:type="dxa"/>
            <w:tcBorders>
              <w:top w:val="nil"/>
              <w:left w:val="nil"/>
              <w:bottom w:val="single" w:sz="4" w:space="0" w:color="auto"/>
              <w:right w:val="single" w:sz="4" w:space="0" w:color="auto"/>
            </w:tcBorders>
            <w:noWrap/>
            <w:hideMark/>
          </w:tcPr>
          <w:p w14:paraId="24A7C1AB" w14:textId="76BCF0AE" w:rsidR="002525D6" w:rsidRPr="005F53CF" w:rsidRDefault="00873DC3">
            <w:pPr>
              <w:spacing w:after="0"/>
              <w:jc w:val="right"/>
              <w:rPr>
                <w:rFonts w:ascii="Arial" w:hAnsi="Arial" w:cs="Arial"/>
                <w:color w:val="000000"/>
                <w:sz w:val="24"/>
                <w:szCs w:val="24"/>
                <w:lang w:eastAsia="en-GB"/>
              </w:rPr>
            </w:pPr>
            <w:r>
              <w:rPr>
                <w:rFonts w:ascii="Arial" w:hAnsi="Arial" w:cs="Arial"/>
                <w:color w:val="000000"/>
                <w:sz w:val="24"/>
                <w:szCs w:val="24"/>
                <w:lang w:eastAsia="en-GB"/>
              </w:rPr>
              <w:t>10</w:t>
            </w:r>
          </w:p>
        </w:tc>
        <w:tc>
          <w:tcPr>
            <w:tcW w:w="2127" w:type="dxa"/>
            <w:tcBorders>
              <w:top w:val="nil"/>
              <w:left w:val="nil"/>
              <w:bottom w:val="single" w:sz="4" w:space="0" w:color="auto"/>
              <w:right w:val="single" w:sz="4" w:space="0" w:color="auto"/>
            </w:tcBorders>
            <w:noWrap/>
            <w:hideMark/>
          </w:tcPr>
          <w:p w14:paraId="52BD86DA" w14:textId="496A31BB" w:rsidR="002525D6" w:rsidRPr="005F53CF" w:rsidRDefault="00873DC3">
            <w:pPr>
              <w:spacing w:after="0"/>
              <w:jc w:val="right"/>
              <w:rPr>
                <w:rFonts w:ascii="Arial" w:hAnsi="Arial" w:cs="Arial"/>
                <w:color w:val="000000"/>
                <w:sz w:val="24"/>
                <w:szCs w:val="24"/>
                <w:lang w:eastAsia="en-GB"/>
              </w:rPr>
            </w:pPr>
            <w:r>
              <w:rPr>
                <w:rFonts w:ascii="Arial" w:hAnsi="Arial" w:cs="Arial"/>
                <w:color w:val="000000"/>
                <w:sz w:val="24"/>
                <w:szCs w:val="24"/>
                <w:lang w:eastAsia="en-GB"/>
              </w:rPr>
              <w:t>24</w:t>
            </w:r>
          </w:p>
        </w:tc>
      </w:tr>
    </w:tbl>
    <w:p w14:paraId="05406FA7" w14:textId="07D52DEE" w:rsidR="00825648" w:rsidRPr="00CE0E61" w:rsidRDefault="0036567A" w:rsidP="0078326A">
      <w:pPr>
        <w:pStyle w:val="Heading2"/>
        <w:ind w:left="0"/>
        <w:rPr>
          <w:rFonts w:ascii="Arial" w:hAnsi="Arial" w:cs="Arial"/>
          <w:i w:val="0"/>
          <w:sz w:val="24"/>
          <w:szCs w:val="24"/>
        </w:rPr>
      </w:pPr>
      <w:r>
        <w:rPr>
          <w:rFonts w:ascii="Arial" w:hAnsi="Arial" w:cs="Arial"/>
          <w:i w:val="0"/>
          <w:sz w:val="24"/>
          <w:szCs w:val="24"/>
        </w:rPr>
        <w:t>Growing Places Fund/</w:t>
      </w:r>
      <w:r w:rsidRPr="0036567A">
        <w:rPr>
          <w:rFonts w:ascii="Arial" w:hAnsi="Arial" w:cs="Arial"/>
          <w:i w:val="0"/>
          <w:sz w:val="24"/>
          <w:szCs w:val="24"/>
        </w:rPr>
        <w:t xml:space="preserve"> </w:t>
      </w:r>
      <w:r>
        <w:rPr>
          <w:rFonts w:ascii="Arial" w:hAnsi="Arial" w:cs="Arial"/>
          <w:i w:val="0"/>
          <w:sz w:val="24"/>
          <w:szCs w:val="24"/>
        </w:rPr>
        <w:t>Cumbria Infrastructure Fund</w:t>
      </w:r>
    </w:p>
    <w:p w14:paraId="1408014F" w14:textId="365FCC8A" w:rsidR="00825648" w:rsidRDefault="00825648" w:rsidP="00CE0E61">
      <w:pPr>
        <w:pStyle w:val="Heading5"/>
        <w:jc w:val="left"/>
        <w:rPr>
          <w:rFonts w:ascii="Arial" w:hAnsi="Arial" w:cs="Arial"/>
          <w:sz w:val="24"/>
          <w:szCs w:val="24"/>
        </w:rPr>
      </w:pPr>
      <w:r w:rsidRPr="00CE0E61">
        <w:rPr>
          <w:rFonts w:ascii="Arial" w:hAnsi="Arial" w:cs="Arial"/>
          <w:sz w:val="24"/>
          <w:szCs w:val="24"/>
        </w:rPr>
        <w:t xml:space="preserve">The Cumbria Infrastructure Fund is </w:t>
      </w:r>
      <w:r w:rsidR="00CE0E61">
        <w:rPr>
          <w:rFonts w:ascii="Arial" w:hAnsi="Arial" w:cs="Arial"/>
          <w:sz w:val="24"/>
          <w:szCs w:val="24"/>
        </w:rPr>
        <w:t xml:space="preserve">the </w:t>
      </w:r>
      <w:r w:rsidRPr="00CE0E61">
        <w:rPr>
          <w:rFonts w:ascii="Arial" w:hAnsi="Arial" w:cs="Arial"/>
          <w:sz w:val="24"/>
          <w:szCs w:val="24"/>
        </w:rPr>
        <w:t xml:space="preserve">local implementation of the Growing Places Fund.  The fund was established to promote the delivery of key infrastructure needed to unlock developments that help generate jobs and homes. The total amount of funding awarded was £6.1 million and was established to act as a revolving fund to allow future investments to be made once returns to the programme are made. Funds have already started to be reinvested as the programme has committed a total of £8.7m to projects. </w:t>
      </w:r>
      <w:r w:rsidR="00CE0E61">
        <w:rPr>
          <w:rFonts w:ascii="Arial" w:hAnsi="Arial" w:cs="Arial"/>
          <w:sz w:val="24"/>
          <w:szCs w:val="24"/>
        </w:rPr>
        <w:br/>
      </w:r>
    </w:p>
    <w:p w14:paraId="1226EA8D" w14:textId="16B85B12" w:rsidR="00825648" w:rsidRPr="00CE0E61" w:rsidRDefault="005F1753" w:rsidP="00CE0E61">
      <w:pPr>
        <w:pStyle w:val="Heading5"/>
        <w:jc w:val="left"/>
        <w:rPr>
          <w:rFonts w:ascii="Arial" w:hAnsi="Arial" w:cs="Arial"/>
          <w:sz w:val="24"/>
          <w:szCs w:val="24"/>
        </w:rPr>
      </w:pPr>
      <w:r w:rsidRPr="00CE0E61">
        <w:rPr>
          <w:rFonts w:ascii="Arial" w:hAnsi="Arial" w:cs="Arial"/>
          <w:sz w:val="24"/>
          <w:szCs w:val="24"/>
        </w:rPr>
        <w:t>P</w:t>
      </w:r>
      <w:r w:rsidR="00825648" w:rsidRPr="00CE0E61">
        <w:rPr>
          <w:rFonts w:ascii="Arial" w:hAnsi="Arial" w:cs="Arial"/>
          <w:sz w:val="24"/>
          <w:szCs w:val="24"/>
        </w:rPr>
        <w:t>rogress and activity is as follows:</w:t>
      </w:r>
    </w:p>
    <w:p w14:paraId="0CFFE54A" w14:textId="3B927F78" w:rsidR="00825648" w:rsidRPr="005F53CF" w:rsidRDefault="008F0F48" w:rsidP="00825648">
      <w:pPr>
        <w:pStyle w:val="Heading5"/>
        <w:numPr>
          <w:ilvl w:val="0"/>
          <w:numId w:val="42"/>
        </w:numPr>
        <w:rPr>
          <w:rFonts w:ascii="Arial" w:hAnsi="Arial" w:cs="Arial"/>
          <w:sz w:val="24"/>
          <w:szCs w:val="24"/>
        </w:rPr>
      </w:pPr>
      <w:r w:rsidRPr="005F53CF">
        <w:rPr>
          <w:rFonts w:ascii="Arial" w:hAnsi="Arial" w:cs="Arial"/>
          <w:sz w:val="24"/>
          <w:szCs w:val="24"/>
        </w:rPr>
        <w:t>Over 2</w:t>
      </w:r>
      <w:r w:rsidR="00825648" w:rsidRPr="005F53CF">
        <w:rPr>
          <w:rFonts w:ascii="Arial" w:hAnsi="Arial" w:cs="Arial"/>
          <w:sz w:val="24"/>
          <w:szCs w:val="24"/>
        </w:rPr>
        <w:t xml:space="preserve">00 new homes </w:t>
      </w:r>
      <w:r w:rsidRPr="005F53CF">
        <w:rPr>
          <w:rFonts w:ascii="Arial" w:hAnsi="Arial" w:cs="Arial"/>
          <w:sz w:val="24"/>
          <w:szCs w:val="24"/>
        </w:rPr>
        <w:t xml:space="preserve">being </w:t>
      </w:r>
      <w:r w:rsidR="00825648" w:rsidRPr="005F53CF">
        <w:rPr>
          <w:rFonts w:ascii="Arial" w:hAnsi="Arial" w:cs="Arial"/>
          <w:sz w:val="24"/>
          <w:szCs w:val="24"/>
        </w:rPr>
        <w:t>developed across four housing s</w:t>
      </w:r>
      <w:r w:rsidRPr="005F53CF">
        <w:rPr>
          <w:rFonts w:ascii="Arial" w:hAnsi="Arial" w:cs="Arial"/>
          <w:sz w:val="24"/>
          <w:szCs w:val="24"/>
        </w:rPr>
        <w:t xml:space="preserve">ites in South and West Cumbria. </w:t>
      </w:r>
    </w:p>
    <w:p w14:paraId="500C00C1" w14:textId="256E5D16" w:rsidR="00825648" w:rsidRPr="005F53CF" w:rsidRDefault="00825648" w:rsidP="00825648">
      <w:pPr>
        <w:pStyle w:val="Heading5"/>
        <w:numPr>
          <w:ilvl w:val="0"/>
          <w:numId w:val="42"/>
        </w:numPr>
        <w:rPr>
          <w:rFonts w:ascii="Arial" w:hAnsi="Arial" w:cs="Arial"/>
          <w:sz w:val="24"/>
          <w:szCs w:val="24"/>
        </w:rPr>
      </w:pPr>
      <w:r w:rsidRPr="005F53CF">
        <w:rPr>
          <w:rFonts w:ascii="Arial" w:hAnsi="Arial" w:cs="Arial"/>
          <w:sz w:val="24"/>
          <w:szCs w:val="24"/>
        </w:rPr>
        <w:t xml:space="preserve">53 jobs created through the Small Business Development Loan scheme. This is an investment programme </w:t>
      </w:r>
      <w:r w:rsidR="00BA633D" w:rsidRPr="005F53CF">
        <w:rPr>
          <w:rFonts w:ascii="Arial" w:hAnsi="Arial" w:cs="Arial"/>
          <w:sz w:val="24"/>
          <w:szCs w:val="24"/>
        </w:rPr>
        <w:t xml:space="preserve">within CIF </w:t>
      </w:r>
      <w:r w:rsidRPr="005F53CF">
        <w:rPr>
          <w:rFonts w:ascii="Arial" w:hAnsi="Arial" w:cs="Arial"/>
          <w:sz w:val="24"/>
          <w:szCs w:val="24"/>
        </w:rPr>
        <w:t xml:space="preserve">established to support SMEs access </w:t>
      </w:r>
      <w:r w:rsidR="00CE0E61">
        <w:rPr>
          <w:rFonts w:ascii="Arial" w:hAnsi="Arial" w:cs="Arial"/>
          <w:sz w:val="24"/>
          <w:szCs w:val="24"/>
        </w:rPr>
        <w:t xml:space="preserve">to </w:t>
      </w:r>
      <w:r w:rsidRPr="005F53CF">
        <w:rPr>
          <w:rFonts w:ascii="Arial" w:hAnsi="Arial" w:cs="Arial"/>
          <w:sz w:val="24"/>
          <w:szCs w:val="24"/>
        </w:rPr>
        <w:t>finance for small scale capital developments. There are three</w:t>
      </w:r>
      <w:r w:rsidR="008F0F48" w:rsidRPr="005F53CF">
        <w:rPr>
          <w:rFonts w:ascii="Arial" w:hAnsi="Arial" w:cs="Arial"/>
          <w:sz w:val="24"/>
          <w:szCs w:val="24"/>
        </w:rPr>
        <w:t xml:space="preserve"> remaining</w:t>
      </w:r>
      <w:r w:rsidRPr="005F53CF">
        <w:rPr>
          <w:rFonts w:ascii="Arial" w:hAnsi="Arial" w:cs="Arial"/>
          <w:sz w:val="24"/>
          <w:szCs w:val="24"/>
        </w:rPr>
        <w:t xml:space="preserve"> live projects within the programme tasked with creating 61 jobs. </w:t>
      </w:r>
    </w:p>
    <w:p w14:paraId="7785C0C7" w14:textId="602B11DD" w:rsidR="00825648" w:rsidRPr="005F53CF" w:rsidRDefault="00825648" w:rsidP="00825648">
      <w:pPr>
        <w:pStyle w:val="Heading5"/>
        <w:numPr>
          <w:ilvl w:val="0"/>
          <w:numId w:val="41"/>
        </w:numPr>
        <w:rPr>
          <w:rFonts w:ascii="Arial" w:hAnsi="Arial" w:cs="Arial"/>
          <w:sz w:val="24"/>
          <w:szCs w:val="24"/>
        </w:rPr>
      </w:pPr>
      <w:r w:rsidRPr="005F53CF">
        <w:rPr>
          <w:rFonts w:ascii="Arial" w:hAnsi="Arial" w:cs="Arial"/>
          <w:sz w:val="24"/>
          <w:szCs w:val="24"/>
        </w:rPr>
        <w:t xml:space="preserve">In 19/20 the programme will see the </w:t>
      </w:r>
      <w:r w:rsidR="00FD543B" w:rsidRPr="005F53CF">
        <w:rPr>
          <w:rFonts w:ascii="Arial" w:hAnsi="Arial" w:cs="Arial"/>
          <w:sz w:val="24"/>
          <w:szCs w:val="24"/>
        </w:rPr>
        <w:t xml:space="preserve">completion of the contracting </w:t>
      </w:r>
      <w:r w:rsidRPr="005F53CF">
        <w:rPr>
          <w:rFonts w:ascii="Arial" w:hAnsi="Arial" w:cs="Arial"/>
          <w:sz w:val="24"/>
          <w:szCs w:val="24"/>
        </w:rPr>
        <w:t xml:space="preserve">of the Cross a Moor scheme which </w:t>
      </w:r>
      <w:r w:rsidR="00FD543B" w:rsidRPr="005F53CF">
        <w:rPr>
          <w:rFonts w:ascii="Arial" w:hAnsi="Arial" w:cs="Arial"/>
          <w:sz w:val="24"/>
          <w:szCs w:val="24"/>
        </w:rPr>
        <w:t xml:space="preserve">will see </w:t>
      </w:r>
      <w:r w:rsidRPr="005F53CF">
        <w:rPr>
          <w:rFonts w:ascii="Arial" w:hAnsi="Arial" w:cs="Arial"/>
          <w:sz w:val="24"/>
          <w:szCs w:val="24"/>
        </w:rPr>
        <w:t>the development of a roundabout i</w:t>
      </w:r>
      <w:r w:rsidR="008F0F48" w:rsidRPr="005F53CF">
        <w:rPr>
          <w:rFonts w:ascii="Arial" w:hAnsi="Arial" w:cs="Arial"/>
          <w:sz w:val="24"/>
          <w:szCs w:val="24"/>
        </w:rPr>
        <w:t>n South Ulverston. Through this</w:t>
      </w:r>
      <w:r w:rsidR="00FD543B" w:rsidRPr="005F53CF">
        <w:rPr>
          <w:rFonts w:ascii="Arial" w:hAnsi="Arial" w:cs="Arial"/>
          <w:sz w:val="24"/>
          <w:szCs w:val="24"/>
        </w:rPr>
        <w:t>,</w:t>
      </w:r>
      <w:r w:rsidRPr="005F53CF">
        <w:rPr>
          <w:rFonts w:ascii="Arial" w:hAnsi="Arial" w:cs="Arial"/>
          <w:sz w:val="24"/>
          <w:szCs w:val="24"/>
        </w:rPr>
        <w:t xml:space="preserve"> four housing sites will b</w:t>
      </w:r>
      <w:r w:rsidR="008F0F48" w:rsidRPr="005F53CF">
        <w:rPr>
          <w:rFonts w:ascii="Arial" w:hAnsi="Arial" w:cs="Arial"/>
          <w:sz w:val="24"/>
          <w:szCs w:val="24"/>
        </w:rPr>
        <w:t>e “opened up</w:t>
      </w:r>
      <w:r w:rsidR="00FD543B" w:rsidRPr="005F53CF">
        <w:rPr>
          <w:rFonts w:ascii="Arial" w:hAnsi="Arial" w:cs="Arial"/>
          <w:sz w:val="24"/>
          <w:szCs w:val="24"/>
        </w:rPr>
        <w:t xml:space="preserve">” </w:t>
      </w:r>
      <w:r w:rsidR="00BA633D" w:rsidRPr="005F53CF">
        <w:rPr>
          <w:rFonts w:ascii="Arial" w:hAnsi="Arial" w:cs="Arial"/>
          <w:sz w:val="24"/>
          <w:szCs w:val="24"/>
        </w:rPr>
        <w:t>and</w:t>
      </w:r>
      <w:r w:rsidR="00FD543B" w:rsidRPr="005F53CF">
        <w:rPr>
          <w:rFonts w:ascii="Arial" w:hAnsi="Arial" w:cs="Arial"/>
          <w:sz w:val="24"/>
          <w:szCs w:val="24"/>
        </w:rPr>
        <w:t>,</w:t>
      </w:r>
      <w:r w:rsidR="00BA633D" w:rsidRPr="005F53CF">
        <w:rPr>
          <w:rFonts w:ascii="Arial" w:hAnsi="Arial" w:cs="Arial"/>
          <w:sz w:val="24"/>
          <w:szCs w:val="24"/>
        </w:rPr>
        <w:t xml:space="preserve"> w</w:t>
      </w:r>
      <w:r w:rsidR="008F0F48" w:rsidRPr="005F53CF">
        <w:rPr>
          <w:rFonts w:ascii="Arial" w:hAnsi="Arial" w:cs="Arial"/>
          <w:sz w:val="24"/>
          <w:szCs w:val="24"/>
        </w:rPr>
        <w:t>orking with housing</w:t>
      </w:r>
      <w:r w:rsidRPr="005F53CF">
        <w:rPr>
          <w:rFonts w:ascii="Arial" w:hAnsi="Arial" w:cs="Arial"/>
          <w:sz w:val="24"/>
          <w:szCs w:val="24"/>
        </w:rPr>
        <w:t xml:space="preserve"> developers</w:t>
      </w:r>
      <w:r w:rsidR="00FD543B" w:rsidRPr="005F53CF">
        <w:rPr>
          <w:rFonts w:ascii="Arial" w:hAnsi="Arial" w:cs="Arial"/>
          <w:sz w:val="24"/>
          <w:szCs w:val="24"/>
        </w:rPr>
        <w:t>,</w:t>
      </w:r>
      <w:r w:rsidRPr="005F53CF">
        <w:rPr>
          <w:rFonts w:ascii="Arial" w:hAnsi="Arial" w:cs="Arial"/>
          <w:sz w:val="24"/>
          <w:szCs w:val="24"/>
        </w:rPr>
        <w:t xml:space="preserve"> over 1,000 new homes </w:t>
      </w:r>
      <w:r w:rsidR="00CE0E61">
        <w:rPr>
          <w:rFonts w:ascii="Arial" w:hAnsi="Arial" w:cs="Arial"/>
          <w:sz w:val="24"/>
          <w:szCs w:val="24"/>
        </w:rPr>
        <w:t xml:space="preserve">will be </w:t>
      </w:r>
      <w:r w:rsidRPr="005F53CF">
        <w:rPr>
          <w:rFonts w:ascii="Arial" w:hAnsi="Arial" w:cs="Arial"/>
          <w:sz w:val="24"/>
          <w:szCs w:val="24"/>
        </w:rPr>
        <w:t>created over future years</w:t>
      </w:r>
      <w:r w:rsidR="00BA633D" w:rsidRPr="005F53CF">
        <w:rPr>
          <w:rFonts w:ascii="Arial" w:hAnsi="Arial" w:cs="Arial"/>
          <w:sz w:val="24"/>
          <w:szCs w:val="24"/>
        </w:rPr>
        <w:t>. R</w:t>
      </w:r>
      <w:r w:rsidRPr="005F53CF">
        <w:rPr>
          <w:rFonts w:ascii="Arial" w:hAnsi="Arial" w:cs="Arial"/>
          <w:sz w:val="24"/>
          <w:szCs w:val="24"/>
        </w:rPr>
        <w:t xml:space="preserve">epayments </w:t>
      </w:r>
      <w:r w:rsidR="00BA633D" w:rsidRPr="005F53CF">
        <w:rPr>
          <w:rFonts w:ascii="Arial" w:hAnsi="Arial" w:cs="Arial"/>
          <w:sz w:val="24"/>
          <w:szCs w:val="24"/>
        </w:rPr>
        <w:t xml:space="preserve">will be </w:t>
      </w:r>
      <w:r w:rsidRPr="005F53CF">
        <w:rPr>
          <w:rFonts w:ascii="Arial" w:hAnsi="Arial" w:cs="Arial"/>
          <w:sz w:val="24"/>
          <w:szCs w:val="24"/>
        </w:rPr>
        <w:t>made to the fund</w:t>
      </w:r>
      <w:r w:rsidR="00BA633D" w:rsidRPr="005F53CF">
        <w:rPr>
          <w:rFonts w:ascii="Arial" w:hAnsi="Arial" w:cs="Arial"/>
          <w:sz w:val="24"/>
          <w:szCs w:val="24"/>
        </w:rPr>
        <w:t xml:space="preserve"> through Section 106 agreements agreed between the Planning Authority and Developers. </w:t>
      </w:r>
    </w:p>
    <w:p w14:paraId="13BBF68D" w14:textId="692870F4" w:rsidR="00240D6A" w:rsidRPr="00CE0E61" w:rsidRDefault="00240D6A" w:rsidP="0036567A">
      <w:pPr>
        <w:pStyle w:val="Heading2"/>
        <w:ind w:left="0"/>
        <w:rPr>
          <w:rFonts w:ascii="Arial" w:hAnsi="Arial" w:cs="Arial"/>
          <w:i w:val="0"/>
          <w:sz w:val="24"/>
          <w:szCs w:val="24"/>
        </w:rPr>
      </w:pPr>
      <w:r w:rsidRPr="00CE0E61">
        <w:rPr>
          <w:rFonts w:ascii="Arial" w:hAnsi="Arial" w:cs="Arial"/>
          <w:i w:val="0"/>
          <w:sz w:val="24"/>
          <w:szCs w:val="24"/>
        </w:rPr>
        <w:t>Enterprise Zone</w:t>
      </w:r>
    </w:p>
    <w:p w14:paraId="672D6D82" w14:textId="0369B73F" w:rsidR="0066589C" w:rsidRPr="005F53CF" w:rsidRDefault="0066589C" w:rsidP="0066589C">
      <w:pPr>
        <w:pStyle w:val="Heading5"/>
        <w:rPr>
          <w:rFonts w:ascii="Arial" w:hAnsi="Arial" w:cs="Arial"/>
          <w:sz w:val="24"/>
          <w:szCs w:val="24"/>
        </w:rPr>
      </w:pPr>
      <w:bookmarkStart w:id="0" w:name="_Hlk7085640"/>
      <w:r w:rsidRPr="005F53CF">
        <w:rPr>
          <w:rFonts w:ascii="Arial" w:hAnsi="Arial" w:cs="Arial"/>
          <w:sz w:val="24"/>
          <w:szCs w:val="24"/>
        </w:rPr>
        <w:t xml:space="preserve">CLEP secured Enterprise Zone status for Kingmoor Park in Carlisle. The EZ became operational on 1 April 2016 for </w:t>
      </w:r>
      <w:r w:rsidR="00CE0E61">
        <w:rPr>
          <w:rFonts w:ascii="Arial" w:hAnsi="Arial" w:cs="Arial"/>
          <w:sz w:val="24"/>
          <w:szCs w:val="24"/>
        </w:rPr>
        <w:t xml:space="preserve">a </w:t>
      </w:r>
      <w:r w:rsidR="00774231" w:rsidRPr="005F53CF">
        <w:rPr>
          <w:rFonts w:ascii="Arial" w:hAnsi="Arial" w:cs="Arial"/>
          <w:sz w:val="24"/>
          <w:szCs w:val="24"/>
        </w:rPr>
        <w:t>25-year</w:t>
      </w:r>
      <w:r w:rsidR="00CE0E61">
        <w:rPr>
          <w:rFonts w:ascii="Arial" w:hAnsi="Arial" w:cs="Arial"/>
          <w:sz w:val="24"/>
          <w:szCs w:val="24"/>
        </w:rPr>
        <w:t xml:space="preserve"> period</w:t>
      </w:r>
      <w:r w:rsidRPr="005F53CF">
        <w:rPr>
          <w:rFonts w:ascii="Arial" w:hAnsi="Arial" w:cs="Arial"/>
          <w:sz w:val="24"/>
          <w:szCs w:val="24"/>
        </w:rPr>
        <w:t xml:space="preserve">, offering a combination of business rates relief and capital allowances. The EZ site is 122 hectares in total of which 49 hectares are already developed. </w:t>
      </w:r>
    </w:p>
    <w:p w14:paraId="4F821EE6" w14:textId="09E1FA49" w:rsidR="00240D6A" w:rsidRPr="005F53CF" w:rsidRDefault="0066589C" w:rsidP="0066589C">
      <w:pPr>
        <w:pStyle w:val="Heading5"/>
        <w:rPr>
          <w:rFonts w:ascii="Arial" w:hAnsi="Arial" w:cs="Arial"/>
          <w:sz w:val="24"/>
          <w:szCs w:val="24"/>
        </w:rPr>
      </w:pPr>
      <w:r w:rsidRPr="005F53CF">
        <w:rPr>
          <w:rFonts w:ascii="Arial" w:hAnsi="Arial" w:cs="Arial"/>
          <w:sz w:val="24"/>
          <w:szCs w:val="24"/>
        </w:rPr>
        <w:t xml:space="preserve">Kingmoor Park is located just off Junction 44 of the M6, and has the potential to create an additional 3,000 jobs in advanced manufacturing, nuclear supply chain and logistics. It is highly accessible and offers considerable opportunity to attract new investors to the County and offer grow-on space for existing businesses.  </w:t>
      </w:r>
      <w:r w:rsidR="009C1A87" w:rsidRPr="005F53CF">
        <w:rPr>
          <w:rFonts w:ascii="Arial" w:hAnsi="Arial" w:cs="Arial"/>
          <w:sz w:val="24"/>
          <w:szCs w:val="24"/>
        </w:rPr>
        <w:t>Specific progress and activity is as follows:</w:t>
      </w:r>
    </w:p>
    <w:p w14:paraId="1D80DF40" w14:textId="2F63C7E4" w:rsidR="0066589C" w:rsidRPr="005F53CF" w:rsidRDefault="009C1A87" w:rsidP="009C1A87">
      <w:pPr>
        <w:pStyle w:val="Heading7"/>
        <w:rPr>
          <w:rFonts w:ascii="Arial" w:hAnsi="Arial" w:cs="Arial"/>
          <w:sz w:val="24"/>
          <w:szCs w:val="24"/>
        </w:rPr>
      </w:pPr>
      <w:r w:rsidRPr="005F53CF">
        <w:rPr>
          <w:rFonts w:ascii="Arial" w:hAnsi="Arial" w:cs="Arial"/>
          <w:sz w:val="24"/>
          <w:szCs w:val="24"/>
        </w:rPr>
        <w:t xml:space="preserve">In 2018/19 new speculative development comprising 19 units and 55,000 </w:t>
      </w:r>
      <w:r w:rsidR="002E3195" w:rsidRPr="005F53CF">
        <w:rPr>
          <w:rFonts w:ascii="Arial" w:hAnsi="Arial" w:cs="Arial"/>
          <w:sz w:val="24"/>
          <w:szCs w:val="24"/>
        </w:rPr>
        <w:t>sq.</w:t>
      </w:r>
      <w:r w:rsidRPr="005F53CF">
        <w:rPr>
          <w:rFonts w:ascii="Arial" w:hAnsi="Arial" w:cs="Arial"/>
          <w:sz w:val="24"/>
          <w:szCs w:val="24"/>
        </w:rPr>
        <w:t xml:space="preserve"> ft of commercial floor space was completed. Marketing of these units is now underway during 2019/20 and initial interest is strong from SMEs and growing ventures.</w:t>
      </w:r>
    </w:p>
    <w:bookmarkEnd w:id="0"/>
    <w:p w14:paraId="13822048" w14:textId="22976EC9" w:rsidR="00675AD2" w:rsidRPr="005F53CF" w:rsidRDefault="00675AD2" w:rsidP="00675AD2">
      <w:pPr>
        <w:pStyle w:val="Heading7"/>
        <w:rPr>
          <w:rFonts w:ascii="Arial" w:hAnsi="Arial" w:cs="Arial"/>
          <w:sz w:val="24"/>
          <w:szCs w:val="24"/>
        </w:rPr>
      </w:pPr>
      <w:r w:rsidRPr="005F53CF">
        <w:rPr>
          <w:rFonts w:ascii="Arial" w:hAnsi="Arial" w:cs="Arial"/>
          <w:sz w:val="24"/>
          <w:szCs w:val="24"/>
        </w:rPr>
        <w:t xml:space="preserve">Proposals are being finalised for a solar farm development to provide a green energy solution to the site’s private power supply (offering 12-15% of the business park’s current energy requirement) </w:t>
      </w:r>
    </w:p>
    <w:p w14:paraId="021D2474" w14:textId="6122A630" w:rsidR="00675AD2" w:rsidRPr="005F53CF" w:rsidRDefault="00675AD2" w:rsidP="00675AD2">
      <w:pPr>
        <w:pStyle w:val="Heading7"/>
        <w:rPr>
          <w:rFonts w:ascii="Arial" w:hAnsi="Arial" w:cs="Arial"/>
          <w:sz w:val="24"/>
          <w:szCs w:val="24"/>
        </w:rPr>
      </w:pPr>
      <w:r w:rsidRPr="005F53CF">
        <w:rPr>
          <w:rFonts w:ascii="Arial" w:hAnsi="Arial" w:cs="Arial"/>
          <w:sz w:val="24"/>
          <w:szCs w:val="24"/>
        </w:rPr>
        <w:t>A Waste from Energy power plant section 73 application by Verus Energy was successful in January 2019 and the project is being progressed in 2019/20.</w:t>
      </w:r>
    </w:p>
    <w:p w14:paraId="330C35C2" w14:textId="2072CB8F" w:rsidR="00675AD2" w:rsidRPr="005F53CF" w:rsidRDefault="00675AD2" w:rsidP="00675AD2">
      <w:pPr>
        <w:pStyle w:val="Heading7"/>
        <w:rPr>
          <w:rFonts w:ascii="Arial" w:hAnsi="Arial" w:cs="Arial"/>
          <w:sz w:val="24"/>
          <w:szCs w:val="24"/>
        </w:rPr>
      </w:pPr>
      <w:r w:rsidRPr="005F53CF">
        <w:rPr>
          <w:rFonts w:ascii="Arial" w:hAnsi="Arial" w:cs="Arial"/>
          <w:sz w:val="24"/>
          <w:szCs w:val="24"/>
        </w:rPr>
        <w:t>A revised commercial masterplan for the EZ site will be completed in 2019/20</w:t>
      </w:r>
    </w:p>
    <w:p w14:paraId="76770F1E" w14:textId="38385273" w:rsidR="00675AD2" w:rsidRPr="005F53CF" w:rsidRDefault="00675AD2" w:rsidP="00675AD2">
      <w:pPr>
        <w:pStyle w:val="Heading7"/>
        <w:rPr>
          <w:rFonts w:ascii="Arial" w:hAnsi="Arial" w:cs="Arial"/>
          <w:sz w:val="24"/>
          <w:szCs w:val="24"/>
        </w:rPr>
      </w:pPr>
      <w:r w:rsidRPr="005F53CF">
        <w:rPr>
          <w:rFonts w:ascii="Arial" w:hAnsi="Arial" w:cs="Arial"/>
          <w:sz w:val="24"/>
          <w:szCs w:val="24"/>
        </w:rPr>
        <w:t>During 2018/19 Zone G access road was complete to the phase 1 standard to provide access to new plots</w:t>
      </w:r>
    </w:p>
    <w:p w14:paraId="697B0B29" w14:textId="48FFA9B4" w:rsidR="00675AD2" w:rsidRPr="00CE0E61" w:rsidRDefault="00675AD2" w:rsidP="00675AD2">
      <w:pPr>
        <w:pStyle w:val="Heading7"/>
        <w:rPr>
          <w:rFonts w:ascii="Arial" w:hAnsi="Arial" w:cs="Arial"/>
          <w:b/>
          <w:bCs/>
          <w:i/>
          <w:iCs/>
          <w:sz w:val="24"/>
          <w:szCs w:val="24"/>
        </w:rPr>
      </w:pPr>
      <w:r w:rsidRPr="005F53CF">
        <w:rPr>
          <w:rFonts w:ascii="Arial" w:hAnsi="Arial" w:cs="Arial"/>
          <w:sz w:val="24"/>
          <w:szCs w:val="24"/>
        </w:rPr>
        <w:t>Total employment levels in the EZ have now reached 2,500 jobs.</w:t>
      </w:r>
    </w:p>
    <w:p w14:paraId="131E4199" w14:textId="0CDE7975" w:rsidR="00CE0E61" w:rsidRPr="00CE0E61" w:rsidRDefault="00CE0E61" w:rsidP="00CE0E61">
      <w:pPr>
        <w:pStyle w:val="Heading5"/>
        <w:rPr>
          <w:rFonts w:ascii="Arial" w:hAnsi="Arial" w:cs="Arial"/>
          <w:sz w:val="24"/>
          <w:szCs w:val="24"/>
        </w:rPr>
      </w:pPr>
      <w:r w:rsidRPr="00CE0E61">
        <w:rPr>
          <w:rFonts w:ascii="Arial" w:hAnsi="Arial" w:cs="Arial"/>
          <w:sz w:val="24"/>
          <w:szCs w:val="24"/>
        </w:rPr>
        <w:t xml:space="preserve">The priority in 2019/20 will be exploring with government the baseline for the EZ, which was very high and the focus following the demise of NuGEN and its proposal for a major new nuclear development at Moorside. </w:t>
      </w:r>
    </w:p>
    <w:p w14:paraId="2CEE285C" w14:textId="0D40EA75" w:rsidR="00240D6A" w:rsidRPr="00CE0E61" w:rsidRDefault="00556E68" w:rsidP="0036567A">
      <w:pPr>
        <w:pStyle w:val="Heading2"/>
        <w:ind w:left="0"/>
        <w:rPr>
          <w:rFonts w:ascii="Arial" w:hAnsi="Arial" w:cs="Arial"/>
          <w:i w:val="0"/>
          <w:sz w:val="24"/>
          <w:szCs w:val="24"/>
        </w:rPr>
      </w:pPr>
      <w:r>
        <w:rPr>
          <w:rFonts w:ascii="Arial" w:hAnsi="Arial" w:cs="Arial"/>
          <w:i w:val="0"/>
          <w:sz w:val="24"/>
          <w:szCs w:val="24"/>
        </w:rPr>
        <w:t>Cumbria Growth Catalyst</w:t>
      </w:r>
    </w:p>
    <w:p w14:paraId="13FB9C71" w14:textId="5E689A5A" w:rsidR="00C258E1" w:rsidRDefault="00C258E1" w:rsidP="00CE0E61">
      <w:pPr>
        <w:pStyle w:val="Heading5"/>
        <w:rPr>
          <w:rFonts w:ascii="Arial" w:hAnsi="Arial" w:cs="Arial"/>
          <w:sz w:val="24"/>
          <w:szCs w:val="24"/>
        </w:rPr>
      </w:pPr>
      <w:r>
        <w:rPr>
          <w:rFonts w:ascii="Arial" w:hAnsi="Arial" w:cs="Arial"/>
          <w:sz w:val="24"/>
          <w:szCs w:val="24"/>
        </w:rPr>
        <w:t>The Cumbria Growth Catalyst programme is being delivered by the Cumbria Chamber of Commerce and is aimed at ensuring that there is a</w:t>
      </w:r>
      <w:r w:rsidR="009A30B6">
        <w:rPr>
          <w:rFonts w:ascii="Arial" w:hAnsi="Arial" w:cs="Arial"/>
          <w:sz w:val="24"/>
          <w:szCs w:val="24"/>
        </w:rPr>
        <w:t xml:space="preserve"> single point of contact for businesses seeking support to grow in the county.  </w:t>
      </w:r>
      <w:r w:rsidR="00244035">
        <w:rPr>
          <w:rFonts w:ascii="Arial" w:hAnsi="Arial" w:cs="Arial"/>
          <w:sz w:val="24"/>
          <w:szCs w:val="24"/>
        </w:rPr>
        <w:t>The programme complements that provided through ERDF funding through ensuring those sectors and busine</w:t>
      </w:r>
      <w:r w:rsidR="00FD4C4E">
        <w:rPr>
          <w:rFonts w:ascii="Arial" w:hAnsi="Arial" w:cs="Arial"/>
          <w:sz w:val="24"/>
          <w:szCs w:val="24"/>
        </w:rPr>
        <w:t xml:space="preserve">sses </w:t>
      </w:r>
      <w:r w:rsidR="00C75F13">
        <w:rPr>
          <w:rFonts w:ascii="Arial" w:hAnsi="Arial" w:cs="Arial"/>
          <w:sz w:val="24"/>
          <w:szCs w:val="24"/>
        </w:rPr>
        <w:t xml:space="preserve">that are ERDF-ineligible </w:t>
      </w:r>
      <w:r w:rsidR="003A49AB">
        <w:rPr>
          <w:rFonts w:ascii="Arial" w:hAnsi="Arial" w:cs="Arial"/>
          <w:sz w:val="24"/>
          <w:szCs w:val="24"/>
        </w:rPr>
        <w:t xml:space="preserve">can access appropriate support.  </w:t>
      </w:r>
    </w:p>
    <w:p w14:paraId="46E38764" w14:textId="33DA5BFB" w:rsidR="007F6DEE" w:rsidRPr="00CE0E61" w:rsidRDefault="007F6DEE" w:rsidP="00CE0E61">
      <w:pPr>
        <w:pStyle w:val="Heading5"/>
        <w:rPr>
          <w:rFonts w:ascii="Arial" w:hAnsi="Arial" w:cs="Arial"/>
          <w:sz w:val="24"/>
          <w:szCs w:val="24"/>
        </w:rPr>
      </w:pPr>
      <w:r w:rsidRPr="00CE0E61">
        <w:rPr>
          <w:rFonts w:ascii="Arial" w:hAnsi="Arial" w:cs="Arial"/>
          <w:sz w:val="24"/>
          <w:szCs w:val="24"/>
        </w:rPr>
        <w:t xml:space="preserve">Cumbria County Council received the annual offer letter for funding of £246,000 on 23 April 2019 from BEIS, </w:t>
      </w:r>
      <w:r w:rsidR="00CE0E61">
        <w:rPr>
          <w:rFonts w:ascii="Arial" w:hAnsi="Arial" w:cs="Arial"/>
          <w:sz w:val="24"/>
          <w:szCs w:val="24"/>
        </w:rPr>
        <w:t xml:space="preserve">following approval of </w:t>
      </w:r>
      <w:r w:rsidRPr="00CE0E61">
        <w:rPr>
          <w:rFonts w:ascii="Arial" w:hAnsi="Arial" w:cs="Arial"/>
          <w:sz w:val="24"/>
          <w:szCs w:val="24"/>
        </w:rPr>
        <w:t>the delivery schedules jointly submitted by CLEP and the Council.  The original contract with Cumbria Chamber of Commerce will therefore be extended for 2019/20 and with revised performance targets</w:t>
      </w:r>
      <w:r w:rsidR="00CE0E61">
        <w:rPr>
          <w:rFonts w:ascii="Arial" w:hAnsi="Arial" w:cs="Arial"/>
          <w:sz w:val="24"/>
          <w:szCs w:val="24"/>
        </w:rPr>
        <w:t xml:space="preserve"> of</w:t>
      </w:r>
      <w:r w:rsidRPr="00CE0E61">
        <w:rPr>
          <w:rFonts w:ascii="Arial" w:hAnsi="Arial" w:cs="Arial"/>
          <w:sz w:val="24"/>
          <w:szCs w:val="24"/>
        </w:rPr>
        <w:t>:</w:t>
      </w:r>
    </w:p>
    <w:p w14:paraId="7194A82E" w14:textId="77777777" w:rsidR="007F6DEE" w:rsidRPr="00CE0E61" w:rsidRDefault="007F6DEE" w:rsidP="00CE0E61">
      <w:pPr>
        <w:pStyle w:val="Heading7"/>
        <w:rPr>
          <w:rFonts w:ascii="Arial" w:hAnsi="Arial" w:cs="Arial"/>
          <w:sz w:val="24"/>
          <w:szCs w:val="24"/>
        </w:rPr>
      </w:pPr>
      <w:r w:rsidRPr="00CE0E61">
        <w:rPr>
          <w:rFonts w:ascii="Arial" w:hAnsi="Arial" w:cs="Arial"/>
          <w:sz w:val="24"/>
          <w:szCs w:val="24"/>
        </w:rPr>
        <w:t xml:space="preserve">Triage (telephone service) </w:t>
      </w:r>
      <w:r w:rsidRPr="00CE0E61">
        <w:rPr>
          <w:rFonts w:ascii="Arial" w:hAnsi="Arial" w:cs="Arial"/>
          <w:sz w:val="24"/>
          <w:szCs w:val="24"/>
        </w:rPr>
        <w:tab/>
        <w:t>- 532 hours (minimum)</w:t>
      </w:r>
    </w:p>
    <w:p w14:paraId="6F04DB4D" w14:textId="650817FB" w:rsidR="007F6DEE" w:rsidRPr="00CE0E61" w:rsidRDefault="007F6DEE" w:rsidP="00CE0E61">
      <w:pPr>
        <w:pStyle w:val="Heading7"/>
        <w:rPr>
          <w:rFonts w:ascii="Arial" w:hAnsi="Arial" w:cs="Arial"/>
          <w:sz w:val="24"/>
          <w:szCs w:val="24"/>
        </w:rPr>
      </w:pPr>
      <w:r w:rsidRPr="00CE0E61">
        <w:rPr>
          <w:rFonts w:ascii="Arial" w:hAnsi="Arial" w:cs="Arial"/>
          <w:sz w:val="24"/>
          <w:szCs w:val="24"/>
        </w:rPr>
        <w:t>Diagnostics</w:t>
      </w:r>
      <w:r w:rsidRPr="00CE0E61">
        <w:rPr>
          <w:rFonts w:ascii="Arial" w:hAnsi="Arial" w:cs="Arial"/>
          <w:sz w:val="24"/>
          <w:szCs w:val="24"/>
        </w:rPr>
        <w:tab/>
      </w:r>
      <w:r w:rsidRPr="00CE0E61">
        <w:rPr>
          <w:rFonts w:ascii="Arial" w:hAnsi="Arial" w:cs="Arial"/>
          <w:sz w:val="24"/>
          <w:szCs w:val="24"/>
        </w:rPr>
        <w:tab/>
      </w:r>
      <w:r w:rsidRPr="00CE0E61">
        <w:rPr>
          <w:rFonts w:ascii="Arial" w:hAnsi="Arial" w:cs="Arial"/>
          <w:sz w:val="24"/>
          <w:szCs w:val="24"/>
        </w:rPr>
        <w:tab/>
      </w:r>
      <w:r w:rsidR="00CE0E61">
        <w:rPr>
          <w:rFonts w:ascii="Arial" w:hAnsi="Arial" w:cs="Arial"/>
          <w:sz w:val="24"/>
          <w:szCs w:val="24"/>
        </w:rPr>
        <w:tab/>
      </w:r>
      <w:r w:rsidRPr="00CE0E61">
        <w:rPr>
          <w:rFonts w:ascii="Arial" w:hAnsi="Arial" w:cs="Arial"/>
          <w:sz w:val="24"/>
          <w:szCs w:val="24"/>
        </w:rPr>
        <w:t>- 779 @ 3 hours</w:t>
      </w:r>
      <w:r w:rsidRPr="00CE0E61">
        <w:rPr>
          <w:rFonts w:ascii="Arial" w:hAnsi="Arial" w:cs="Arial"/>
          <w:sz w:val="24"/>
          <w:szCs w:val="24"/>
        </w:rPr>
        <w:tab/>
      </w:r>
      <w:r w:rsidRPr="00CE0E61">
        <w:rPr>
          <w:rFonts w:ascii="Arial" w:hAnsi="Arial" w:cs="Arial"/>
          <w:sz w:val="24"/>
          <w:szCs w:val="24"/>
        </w:rPr>
        <w:tab/>
      </w:r>
      <w:r w:rsidRPr="00CE0E61">
        <w:rPr>
          <w:rFonts w:ascii="Arial" w:hAnsi="Arial" w:cs="Arial"/>
          <w:sz w:val="24"/>
          <w:szCs w:val="24"/>
        </w:rPr>
        <w:tab/>
      </w:r>
      <w:r w:rsidRPr="00CE0E61">
        <w:rPr>
          <w:rFonts w:ascii="Arial" w:hAnsi="Arial" w:cs="Arial"/>
          <w:sz w:val="24"/>
          <w:szCs w:val="24"/>
        </w:rPr>
        <w:tab/>
      </w:r>
    </w:p>
    <w:p w14:paraId="285E1D13" w14:textId="5FFBF0E7" w:rsidR="007F6DEE" w:rsidRPr="00CE0E61" w:rsidRDefault="007F6DEE" w:rsidP="00CE0E61">
      <w:pPr>
        <w:pStyle w:val="Heading7"/>
        <w:rPr>
          <w:rFonts w:ascii="Arial" w:hAnsi="Arial" w:cs="Arial"/>
          <w:sz w:val="24"/>
          <w:szCs w:val="24"/>
        </w:rPr>
      </w:pPr>
      <w:r w:rsidRPr="00CE0E61">
        <w:rPr>
          <w:rFonts w:ascii="Arial" w:hAnsi="Arial" w:cs="Arial"/>
          <w:sz w:val="24"/>
          <w:szCs w:val="24"/>
        </w:rPr>
        <w:t>Scale up Assists</w:t>
      </w:r>
      <w:r w:rsidRPr="00CE0E61">
        <w:rPr>
          <w:rFonts w:ascii="Arial" w:hAnsi="Arial" w:cs="Arial"/>
          <w:sz w:val="24"/>
          <w:szCs w:val="24"/>
        </w:rPr>
        <w:tab/>
      </w:r>
      <w:r w:rsidR="00CE0E61">
        <w:rPr>
          <w:rFonts w:ascii="Arial" w:hAnsi="Arial" w:cs="Arial"/>
          <w:sz w:val="24"/>
          <w:szCs w:val="24"/>
        </w:rPr>
        <w:tab/>
      </w:r>
      <w:r w:rsidR="00CE0E61">
        <w:rPr>
          <w:rFonts w:ascii="Arial" w:hAnsi="Arial" w:cs="Arial"/>
          <w:sz w:val="24"/>
          <w:szCs w:val="24"/>
        </w:rPr>
        <w:tab/>
      </w:r>
      <w:r w:rsidRPr="00CE0E61">
        <w:rPr>
          <w:rFonts w:ascii="Arial" w:hAnsi="Arial" w:cs="Arial"/>
          <w:sz w:val="24"/>
          <w:szCs w:val="24"/>
        </w:rPr>
        <w:t xml:space="preserve">- 88 @ 12 hours (for businesses with the </w:t>
      </w:r>
      <w:r w:rsidR="009C57AC">
        <w:rPr>
          <w:rFonts w:ascii="Arial" w:hAnsi="Arial" w:cs="Arial"/>
          <w:sz w:val="24"/>
          <w:szCs w:val="24"/>
        </w:rPr>
        <w:tab/>
      </w:r>
      <w:r w:rsidR="009C57AC">
        <w:rPr>
          <w:rFonts w:ascii="Arial" w:hAnsi="Arial" w:cs="Arial"/>
          <w:sz w:val="24"/>
          <w:szCs w:val="24"/>
        </w:rPr>
        <w:tab/>
      </w:r>
      <w:r w:rsidR="009C57AC">
        <w:rPr>
          <w:rFonts w:ascii="Arial" w:hAnsi="Arial" w:cs="Arial"/>
          <w:sz w:val="24"/>
          <w:szCs w:val="24"/>
        </w:rPr>
        <w:tab/>
      </w:r>
      <w:r w:rsidR="009C57AC">
        <w:rPr>
          <w:rFonts w:ascii="Arial" w:hAnsi="Arial" w:cs="Arial"/>
          <w:sz w:val="24"/>
          <w:szCs w:val="24"/>
        </w:rPr>
        <w:tab/>
      </w:r>
      <w:r w:rsidR="009C57AC">
        <w:rPr>
          <w:rFonts w:ascii="Arial" w:hAnsi="Arial" w:cs="Arial"/>
          <w:sz w:val="24"/>
          <w:szCs w:val="24"/>
        </w:rPr>
        <w:tab/>
      </w:r>
      <w:r w:rsidRPr="00CE0E61">
        <w:rPr>
          <w:rFonts w:ascii="Arial" w:hAnsi="Arial" w:cs="Arial"/>
          <w:sz w:val="24"/>
          <w:szCs w:val="24"/>
        </w:rPr>
        <w:t xml:space="preserve">ambition and potential to increase turnover </w:t>
      </w:r>
      <w:r w:rsidR="009C57AC">
        <w:rPr>
          <w:rFonts w:ascii="Arial" w:hAnsi="Arial" w:cs="Arial"/>
          <w:sz w:val="24"/>
          <w:szCs w:val="24"/>
        </w:rPr>
        <w:tab/>
      </w:r>
      <w:r w:rsidR="009C57AC">
        <w:rPr>
          <w:rFonts w:ascii="Arial" w:hAnsi="Arial" w:cs="Arial"/>
          <w:sz w:val="24"/>
          <w:szCs w:val="24"/>
        </w:rPr>
        <w:tab/>
      </w:r>
      <w:r w:rsidR="009C57AC">
        <w:rPr>
          <w:rFonts w:ascii="Arial" w:hAnsi="Arial" w:cs="Arial"/>
          <w:sz w:val="24"/>
          <w:szCs w:val="24"/>
        </w:rPr>
        <w:tab/>
      </w:r>
      <w:r w:rsidR="009C57AC">
        <w:rPr>
          <w:rFonts w:ascii="Arial" w:hAnsi="Arial" w:cs="Arial"/>
          <w:sz w:val="24"/>
          <w:szCs w:val="24"/>
        </w:rPr>
        <w:tab/>
      </w:r>
      <w:r w:rsidR="009C57AC">
        <w:rPr>
          <w:rFonts w:ascii="Arial" w:hAnsi="Arial" w:cs="Arial"/>
          <w:sz w:val="24"/>
          <w:szCs w:val="24"/>
        </w:rPr>
        <w:tab/>
      </w:r>
      <w:r w:rsidRPr="00CE0E61">
        <w:rPr>
          <w:rFonts w:ascii="Arial" w:hAnsi="Arial" w:cs="Arial"/>
          <w:sz w:val="24"/>
          <w:szCs w:val="24"/>
        </w:rPr>
        <w:t>by 50% within three years</w:t>
      </w:r>
    </w:p>
    <w:p w14:paraId="3D8E1E5F" w14:textId="260AFF08" w:rsidR="007F6DEE" w:rsidRPr="00CE0E61" w:rsidRDefault="007F6DEE" w:rsidP="00CE0E61">
      <w:pPr>
        <w:pStyle w:val="Heading7"/>
        <w:rPr>
          <w:rFonts w:ascii="Arial" w:hAnsi="Arial" w:cs="Arial"/>
          <w:sz w:val="24"/>
          <w:szCs w:val="24"/>
        </w:rPr>
      </w:pPr>
      <w:r w:rsidRPr="00CE0E61">
        <w:rPr>
          <w:rFonts w:ascii="Arial" w:hAnsi="Arial" w:cs="Arial"/>
          <w:sz w:val="24"/>
          <w:szCs w:val="24"/>
        </w:rPr>
        <w:t>Workshops</w:t>
      </w:r>
      <w:r w:rsidRPr="00CE0E61">
        <w:rPr>
          <w:rFonts w:ascii="Arial" w:hAnsi="Arial" w:cs="Arial"/>
          <w:sz w:val="24"/>
          <w:szCs w:val="24"/>
        </w:rPr>
        <w:tab/>
      </w:r>
      <w:r w:rsidRPr="00CE0E61">
        <w:rPr>
          <w:rFonts w:ascii="Arial" w:hAnsi="Arial" w:cs="Arial"/>
          <w:sz w:val="24"/>
          <w:szCs w:val="24"/>
        </w:rPr>
        <w:tab/>
        <w:t xml:space="preserve"> </w:t>
      </w:r>
      <w:r w:rsidRPr="00CE0E61">
        <w:rPr>
          <w:rFonts w:ascii="Arial" w:hAnsi="Arial" w:cs="Arial"/>
          <w:sz w:val="24"/>
          <w:szCs w:val="24"/>
        </w:rPr>
        <w:tab/>
      </w:r>
      <w:r w:rsidR="00CE0E61" w:rsidRPr="00CE0E61">
        <w:rPr>
          <w:rFonts w:ascii="Arial" w:hAnsi="Arial" w:cs="Arial"/>
          <w:sz w:val="24"/>
          <w:szCs w:val="24"/>
        </w:rPr>
        <w:tab/>
      </w:r>
      <w:r w:rsidRPr="00CE0E61">
        <w:rPr>
          <w:rFonts w:ascii="Arial" w:hAnsi="Arial" w:cs="Arial"/>
          <w:sz w:val="24"/>
          <w:szCs w:val="24"/>
        </w:rPr>
        <w:t>- 32 (spread across 6 districts)</w:t>
      </w:r>
    </w:p>
    <w:p w14:paraId="102FEC65" w14:textId="77777777" w:rsidR="007F6DEE" w:rsidRPr="005F53CF" w:rsidRDefault="007F6DEE" w:rsidP="007F6DEE">
      <w:pPr>
        <w:numPr>
          <w:ilvl w:val="4"/>
          <w:numId w:val="0"/>
        </w:numPr>
        <w:tabs>
          <w:tab w:val="num" w:pos="680"/>
        </w:tabs>
        <w:spacing w:before="120" w:after="120" w:line="280" w:lineRule="atLeast"/>
        <w:ind w:left="680" w:hanging="680"/>
        <w:outlineLvl w:val="4"/>
        <w:rPr>
          <w:rFonts w:ascii="Arial" w:hAnsi="Arial" w:cs="Arial"/>
          <w:sz w:val="24"/>
          <w:szCs w:val="24"/>
        </w:rPr>
      </w:pPr>
    </w:p>
    <w:p w14:paraId="6923696A" w14:textId="77777777" w:rsidR="00556E68" w:rsidRPr="00556E68" w:rsidRDefault="00556E68" w:rsidP="00CE0E61">
      <w:pPr>
        <w:pStyle w:val="Heading5"/>
        <w:rPr>
          <w:rFonts w:ascii="Arial" w:hAnsi="Arial" w:cs="Arial"/>
          <w:sz w:val="24"/>
          <w:szCs w:val="24"/>
        </w:rPr>
      </w:pPr>
      <w:r w:rsidRPr="00556E68">
        <w:rPr>
          <w:rFonts w:ascii="Arial" w:hAnsi="Arial" w:cs="Arial"/>
          <w:sz w:val="24"/>
          <w:szCs w:val="24"/>
        </w:rPr>
        <w:t xml:space="preserve">A new Evolutive CRM system has been introduced to provide CLEP with real time access to data and to support the monitoring of contractor performance, sectoral and geographical distribution of support and to facilitate reporting to BEIS.  </w:t>
      </w:r>
    </w:p>
    <w:p w14:paraId="198C95EB" w14:textId="4AEE32E0" w:rsidR="007F6DEE" w:rsidRPr="00556E68" w:rsidRDefault="00556E68" w:rsidP="00CE0E61">
      <w:pPr>
        <w:pStyle w:val="Heading5"/>
        <w:rPr>
          <w:rFonts w:ascii="Arial" w:hAnsi="Arial" w:cs="Arial"/>
          <w:sz w:val="24"/>
          <w:szCs w:val="24"/>
        </w:rPr>
      </w:pPr>
      <w:r w:rsidRPr="00556E68">
        <w:rPr>
          <w:rFonts w:ascii="Arial" w:hAnsi="Arial" w:cs="Arial"/>
          <w:sz w:val="24"/>
          <w:szCs w:val="24"/>
        </w:rPr>
        <w:t xml:space="preserve">Amion has been appointed to undertake an independent interim review of the programme, bearing in mind the delayed start to the programme. It will subsequently complete a whole programme evaluation looking at how the whole programme can be improved.  Additionally, a satisfaction survey will be conducted by the Chamber of Commerce. </w:t>
      </w:r>
    </w:p>
    <w:p w14:paraId="478F208C" w14:textId="412D6562" w:rsidR="00240D6A" w:rsidRPr="00CE0E61" w:rsidRDefault="006377C7" w:rsidP="0036567A">
      <w:pPr>
        <w:pStyle w:val="Heading2"/>
        <w:ind w:left="0"/>
        <w:rPr>
          <w:rFonts w:ascii="Arial" w:hAnsi="Arial" w:cs="Arial"/>
          <w:i w:val="0"/>
          <w:sz w:val="24"/>
          <w:szCs w:val="24"/>
        </w:rPr>
      </w:pPr>
      <w:bookmarkStart w:id="1" w:name="_Hlk7095651"/>
      <w:r w:rsidRPr="00CE0E61">
        <w:rPr>
          <w:rFonts w:ascii="Arial" w:hAnsi="Arial" w:cs="Arial"/>
          <w:i w:val="0"/>
          <w:sz w:val="24"/>
          <w:szCs w:val="24"/>
        </w:rPr>
        <w:t>Northern</w:t>
      </w:r>
      <w:r w:rsidR="00240D6A" w:rsidRPr="00CE0E61">
        <w:rPr>
          <w:rFonts w:ascii="Arial" w:hAnsi="Arial" w:cs="Arial"/>
          <w:i w:val="0"/>
          <w:sz w:val="24"/>
          <w:szCs w:val="24"/>
        </w:rPr>
        <w:t xml:space="preserve"> Cultural Regeneration Fund</w:t>
      </w:r>
      <w:r w:rsidR="009609A2" w:rsidRPr="00CE0E61">
        <w:rPr>
          <w:rFonts w:ascii="Arial" w:hAnsi="Arial" w:cs="Arial"/>
          <w:i w:val="0"/>
          <w:sz w:val="24"/>
          <w:szCs w:val="24"/>
        </w:rPr>
        <w:t xml:space="preserve"> (NCRF)</w:t>
      </w:r>
    </w:p>
    <w:p w14:paraId="7E250CE2" w14:textId="0A02A9C7" w:rsidR="00240D6A" w:rsidRPr="005F53CF" w:rsidRDefault="009609A2" w:rsidP="00D47CCA">
      <w:pPr>
        <w:pStyle w:val="Heading5"/>
        <w:rPr>
          <w:rFonts w:ascii="Arial" w:hAnsi="Arial" w:cs="Arial"/>
          <w:sz w:val="24"/>
          <w:szCs w:val="24"/>
        </w:rPr>
      </w:pPr>
      <w:r w:rsidRPr="005F53CF">
        <w:rPr>
          <w:rFonts w:ascii="Arial" w:hAnsi="Arial" w:cs="Arial"/>
          <w:sz w:val="24"/>
          <w:szCs w:val="24"/>
        </w:rPr>
        <w:t xml:space="preserve">Cumbria has </w:t>
      </w:r>
      <w:r w:rsidR="006377C7" w:rsidRPr="005F53CF">
        <w:rPr>
          <w:rFonts w:ascii="Arial" w:hAnsi="Arial" w:cs="Arial"/>
          <w:sz w:val="24"/>
          <w:szCs w:val="24"/>
        </w:rPr>
        <w:t>been awarded</w:t>
      </w:r>
      <w:r w:rsidRPr="005F53CF">
        <w:rPr>
          <w:rFonts w:ascii="Arial" w:hAnsi="Arial" w:cs="Arial"/>
          <w:sz w:val="24"/>
          <w:szCs w:val="24"/>
        </w:rPr>
        <w:t xml:space="preserve"> £3.2 million in funding from the NCRF</w:t>
      </w:r>
      <w:r w:rsidR="006377C7" w:rsidRPr="005F53CF">
        <w:rPr>
          <w:rFonts w:ascii="Arial" w:hAnsi="Arial" w:cs="Arial"/>
          <w:sz w:val="24"/>
          <w:szCs w:val="24"/>
        </w:rPr>
        <w:t xml:space="preserve"> which is supported by DCMS</w:t>
      </w:r>
      <w:r w:rsidRPr="005F53CF">
        <w:rPr>
          <w:rFonts w:ascii="Arial" w:hAnsi="Arial" w:cs="Arial"/>
          <w:sz w:val="24"/>
          <w:szCs w:val="24"/>
        </w:rPr>
        <w:t xml:space="preserve">. This funding is supporting </w:t>
      </w:r>
      <w:r w:rsidR="00015954">
        <w:rPr>
          <w:rFonts w:ascii="Arial" w:hAnsi="Arial" w:cs="Arial"/>
          <w:sz w:val="24"/>
          <w:szCs w:val="24"/>
        </w:rPr>
        <w:t xml:space="preserve">the World Heritage Lake District Programme which comprises </w:t>
      </w:r>
      <w:r w:rsidRPr="005F53CF">
        <w:rPr>
          <w:rFonts w:ascii="Arial" w:hAnsi="Arial" w:cs="Arial"/>
          <w:sz w:val="24"/>
          <w:szCs w:val="24"/>
        </w:rPr>
        <w:t xml:space="preserve">three </w:t>
      </w:r>
      <w:r w:rsidR="00015954">
        <w:rPr>
          <w:rFonts w:ascii="Arial" w:hAnsi="Arial" w:cs="Arial"/>
          <w:sz w:val="24"/>
          <w:szCs w:val="24"/>
        </w:rPr>
        <w:t>complementary</w:t>
      </w:r>
      <w:r w:rsidR="00015954" w:rsidRPr="005F53CF">
        <w:rPr>
          <w:rFonts w:ascii="Arial" w:hAnsi="Arial" w:cs="Arial"/>
          <w:sz w:val="24"/>
          <w:szCs w:val="24"/>
        </w:rPr>
        <w:t xml:space="preserve"> </w:t>
      </w:r>
      <w:r w:rsidRPr="005F53CF">
        <w:rPr>
          <w:rFonts w:ascii="Arial" w:hAnsi="Arial" w:cs="Arial"/>
          <w:sz w:val="24"/>
          <w:szCs w:val="24"/>
        </w:rPr>
        <w:t>projects:</w:t>
      </w:r>
    </w:p>
    <w:p w14:paraId="1324331B" w14:textId="2F44D28A" w:rsidR="009609A2" w:rsidRPr="005F53CF" w:rsidRDefault="009609A2" w:rsidP="009609A2">
      <w:pPr>
        <w:pStyle w:val="Heading7"/>
        <w:rPr>
          <w:rFonts w:ascii="Arial" w:hAnsi="Arial" w:cs="Arial"/>
          <w:sz w:val="24"/>
          <w:szCs w:val="24"/>
        </w:rPr>
      </w:pPr>
      <w:r w:rsidRPr="005F53CF">
        <w:rPr>
          <w:rFonts w:ascii="Arial" w:hAnsi="Arial" w:cs="Arial"/>
          <w:b/>
          <w:sz w:val="24"/>
          <w:szCs w:val="24"/>
        </w:rPr>
        <w:t>Windermere Jetty Museum of Boats, Steam and Stories</w:t>
      </w:r>
      <w:r w:rsidRPr="005F53CF">
        <w:rPr>
          <w:rFonts w:ascii="Arial" w:hAnsi="Arial" w:cs="Arial"/>
          <w:sz w:val="24"/>
          <w:szCs w:val="24"/>
        </w:rPr>
        <w:t xml:space="preserve">. </w:t>
      </w:r>
      <w:r w:rsidR="00797AB2" w:rsidRPr="005F53CF">
        <w:rPr>
          <w:rFonts w:ascii="Arial" w:hAnsi="Arial" w:cs="Arial"/>
          <w:sz w:val="24"/>
          <w:szCs w:val="24"/>
        </w:rPr>
        <w:t xml:space="preserve">This has </w:t>
      </w:r>
      <w:r w:rsidR="006950C0" w:rsidRPr="005F53CF">
        <w:rPr>
          <w:rFonts w:ascii="Arial" w:hAnsi="Arial" w:cs="Arial"/>
          <w:sz w:val="24"/>
          <w:szCs w:val="24"/>
        </w:rPr>
        <w:t>been allocated</w:t>
      </w:r>
      <w:r w:rsidR="00797AB2" w:rsidRPr="005F53CF">
        <w:rPr>
          <w:rFonts w:ascii="Arial" w:hAnsi="Arial" w:cs="Arial"/>
          <w:sz w:val="24"/>
          <w:szCs w:val="24"/>
        </w:rPr>
        <w:t xml:space="preserve"> £</w:t>
      </w:r>
      <w:r w:rsidR="00523C6B" w:rsidRPr="005F53CF">
        <w:rPr>
          <w:rFonts w:ascii="Arial" w:hAnsi="Arial" w:cs="Arial"/>
          <w:sz w:val="24"/>
          <w:szCs w:val="24"/>
        </w:rPr>
        <w:t>2.3</w:t>
      </w:r>
      <w:r w:rsidR="00797AB2" w:rsidRPr="005F53CF">
        <w:rPr>
          <w:rFonts w:ascii="Arial" w:hAnsi="Arial" w:cs="Arial"/>
          <w:sz w:val="24"/>
          <w:szCs w:val="24"/>
        </w:rPr>
        <w:t>m in NCRF support which has helped contribute to the overall £20 million cost of the project. The new museum at Windermere Jetty replaces the former Windermere Steamboat Museum and opened to the public on 23</w:t>
      </w:r>
      <w:r w:rsidR="00797AB2" w:rsidRPr="005F53CF">
        <w:rPr>
          <w:rFonts w:ascii="Arial" w:hAnsi="Arial" w:cs="Arial"/>
          <w:sz w:val="24"/>
          <w:szCs w:val="24"/>
          <w:vertAlign w:val="superscript"/>
        </w:rPr>
        <w:t>rd</w:t>
      </w:r>
      <w:r w:rsidR="00797AB2" w:rsidRPr="005F53CF">
        <w:rPr>
          <w:rFonts w:ascii="Arial" w:hAnsi="Arial" w:cs="Arial"/>
          <w:sz w:val="24"/>
          <w:szCs w:val="24"/>
        </w:rPr>
        <w:t xml:space="preserve"> March 2019. </w:t>
      </w:r>
      <w:r w:rsidR="00523C6B" w:rsidRPr="005F53CF">
        <w:rPr>
          <w:rFonts w:ascii="Arial" w:hAnsi="Arial" w:cs="Arial"/>
          <w:sz w:val="24"/>
          <w:szCs w:val="24"/>
        </w:rPr>
        <w:t>To date it has received £1.</w:t>
      </w:r>
      <w:r w:rsidR="006377C7" w:rsidRPr="005F53CF">
        <w:rPr>
          <w:rFonts w:ascii="Arial" w:hAnsi="Arial" w:cs="Arial"/>
          <w:sz w:val="24"/>
          <w:szCs w:val="24"/>
        </w:rPr>
        <w:t>1</w:t>
      </w:r>
      <w:r w:rsidR="00523C6B" w:rsidRPr="005F53CF">
        <w:rPr>
          <w:rFonts w:ascii="Arial" w:hAnsi="Arial" w:cs="Arial"/>
          <w:sz w:val="24"/>
          <w:szCs w:val="24"/>
        </w:rPr>
        <w:t xml:space="preserve">4m of the £2.3m grant approval. </w:t>
      </w:r>
      <w:r w:rsidR="00797AB2" w:rsidRPr="005F53CF">
        <w:rPr>
          <w:rFonts w:ascii="Arial" w:hAnsi="Arial" w:cs="Arial"/>
          <w:sz w:val="24"/>
          <w:szCs w:val="24"/>
        </w:rPr>
        <w:t>The project will support 29 FTE jobs and is expected to receive around 1</w:t>
      </w:r>
      <w:r w:rsidR="00523C6B" w:rsidRPr="005F53CF">
        <w:rPr>
          <w:rFonts w:ascii="Arial" w:hAnsi="Arial" w:cs="Arial"/>
          <w:sz w:val="24"/>
          <w:szCs w:val="24"/>
        </w:rPr>
        <w:t>20,000</w:t>
      </w:r>
      <w:r w:rsidR="00797AB2" w:rsidRPr="005F53CF">
        <w:rPr>
          <w:rFonts w:ascii="Arial" w:hAnsi="Arial" w:cs="Arial"/>
          <w:sz w:val="24"/>
          <w:szCs w:val="24"/>
        </w:rPr>
        <w:t xml:space="preserve"> visits per year. </w:t>
      </w:r>
    </w:p>
    <w:p w14:paraId="58E06D81" w14:textId="37D574E8" w:rsidR="00240D6A" w:rsidRPr="005F53CF" w:rsidRDefault="00797AB2" w:rsidP="00797AB2">
      <w:pPr>
        <w:pStyle w:val="Heading7"/>
        <w:rPr>
          <w:rFonts w:ascii="Arial" w:hAnsi="Arial" w:cs="Arial"/>
          <w:sz w:val="24"/>
          <w:szCs w:val="24"/>
        </w:rPr>
      </w:pPr>
      <w:r w:rsidRPr="005F53CF">
        <w:rPr>
          <w:rFonts w:ascii="Arial" w:hAnsi="Arial" w:cs="Arial"/>
          <w:sz w:val="24"/>
          <w:szCs w:val="24"/>
        </w:rPr>
        <w:t>The</w:t>
      </w:r>
      <w:r w:rsidRPr="005F53CF">
        <w:rPr>
          <w:rFonts w:ascii="Arial" w:hAnsi="Arial" w:cs="Arial"/>
          <w:b/>
          <w:sz w:val="24"/>
          <w:szCs w:val="24"/>
        </w:rPr>
        <w:t xml:space="preserve"> Reimagining Wordsworth</w:t>
      </w:r>
      <w:r w:rsidRPr="005F53CF">
        <w:rPr>
          <w:rFonts w:ascii="Arial" w:hAnsi="Arial" w:cs="Arial"/>
          <w:sz w:val="24"/>
          <w:szCs w:val="24"/>
        </w:rPr>
        <w:t xml:space="preserve"> project will transform the Wordsworth Museum in Grasmere, which holds the finest collection of Wordsworth’s manuscripts anywhere in the world. </w:t>
      </w:r>
      <w:r w:rsidR="0090340E">
        <w:rPr>
          <w:rFonts w:ascii="Arial" w:hAnsi="Arial" w:cs="Arial"/>
          <w:sz w:val="24"/>
          <w:szCs w:val="24"/>
        </w:rPr>
        <w:t xml:space="preserve">The contract will be in place in May 2019 and will </w:t>
      </w:r>
      <w:r w:rsidR="00D47CCA" w:rsidRPr="005F53CF">
        <w:rPr>
          <w:rFonts w:ascii="Arial" w:hAnsi="Arial" w:cs="Arial"/>
          <w:sz w:val="24"/>
          <w:szCs w:val="24"/>
        </w:rPr>
        <w:t>receive</w:t>
      </w:r>
      <w:r w:rsidRPr="005F53CF">
        <w:rPr>
          <w:rFonts w:ascii="Arial" w:hAnsi="Arial" w:cs="Arial"/>
          <w:sz w:val="24"/>
          <w:szCs w:val="24"/>
        </w:rPr>
        <w:t xml:space="preserve"> £</w:t>
      </w:r>
      <w:r w:rsidR="006950C0" w:rsidRPr="005F53CF">
        <w:rPr>
          <w:rFonts w:ascii="Arial" w:hAnsi="Arial" w:cs="Arial"/>
          <w:sz w:val="24"/>
          <w:szCs w:val="24"/>
        </w:rPr>
        <w:t xml:space="preserve">495,000 </w:t>
      </w:r>
      <w:r w:rsidRPr="005F53CF">
        <w:rPr>
          <w:rFonts w:ascii="Arial" w:hAnsi="Arial" w:cs="Arial"/>
          <w:sz w:val="24"/>
          <w:szCs w:val="24"/>
        </w:rPr>
        <w:t>in NCRF support</w:t>
      </w:r>
      <w:r w:rsidR="00D47CCA" w:rsidRPr="005F53CF">
        <w:rPr>
          <w:rFonts w:ascii="Arial" w:hAnsi="Arial" w:cs="Arial"/>
          <w:sz w:val="24"/>
          <w:szCs w:val="24"/>
        </w:rPr>
        <w:t>. The project</w:t>
      </w:r>
      <w:r w:rsidRPr="005F53CF">
        <w:rPr>
          <w:rFonts w:ascii="Arial" w:hAnsi="Arial" w:cs="Arial"/>
          <w:sz w:val="24"/>
          <w:szCs w:val="24"/>
        </w:rPr>
        <w:t xml:space="preserve"> will be </w:t>
      </w:r>
      <w:r w:rsidR="006950C0" w:rsidRPr="005F53CF">
        <w:rPr>
          <w:rFonts w:ascii="Arial" w:hAnsi="Arial" w:cs="Arial"/>
          <w:sz w:val="24"/>
          <w:szCs w:val="24"/>
        </w:rPr>
        <w:t xml:space="preserve">substantially </w:t>
      </w:r>
      <w:r w:rsidRPr="005F53CF">
        <w:rPr>
          <w:rFonts w:ascii="Arial" w:hAnsi="Arial" w:cs="Arial"/>
          <w:sz w:val="24"/>
          <w:szCs w:val="24"/>
        </w:rPr>
        <w:t xml:space="preserve">completed </w:t>
      </w:r>
      <w:r w:rsidR="00D47CCA" w:rsidRPr="005F53CF">
        <w:rPr>
          <w:rFonts w:ascii="Arial" w:hAnsi="Arial" w:cs="Arial"/>
          <w:sz w:val="24"/>
          <w:szCs w:val="24"/>
        </w:rPr>
        <w:t>during</w:t>
      </w:r>
      <w:r w:rsidRPr="005F53CF">
        <w:rPr>
          <w:rFonts w:ascii="Arial" w:hAnsi="Arial" w:cs="Arial"/>
          <w:sz w:val="24"/>
          <w:szCs w:val="24"/>
        </w:rPr>
        <w:t xml:space="preserve"> 2019/20.  </w:t>
      </w:r>
      <w:r w:rsidR="00D47CCA" w:rsidRPr="005F53CF">
        <w:rPr>
          <w:rFonts w:ascii="Arial" w:hAnsi="Arial" w:cs="Arial"/>
          <w:sz w:val="24"/>
          <w:szCs w:val="24"/>
        </w:rPr>
        <w:t xml:space="preserve">It will </w:t>
      </w:r>
      <w:r w:rsidR="006950C0" w:rsidRPr="005F53CF">
        <w:rPr>
          <w:rFonts w:ascii="Arial" w:hAnsi="Arial" w:cs="Arial"/>
          <w:sz w:val="24"/>
          <w:szCs w:val="24"/>
        </w:rPr>
        <w:t>support creation of 5 FTEs and 16,500 additional visitors.</w:t>
      </w:r>
    </w:p>
    <w:p w14:paraId="636DD053" w14:textId="3F14D707" w:rsidR="00797AB2" w:rsidRPr="005F53CF" w:rsidRDefault="00797AB2" w:rsidP="00797AB2">
      <w:pPr>
        <w:pStyle w:val="Heading7"/>
        <w:rPr>
          <w:rFonts w:ascii="Arial" w:hAnsi="Arial" w:cs="Arial"/>
          <w:sz w:val="24"/>
          <w:szCs w:val="24"/>
        </w:rPr>
      </w:pPr>
      <w:r w:rsidRPr="005F53CF">
        <w:rPr>
          <w:rFonts w:ascii="Arial" w:hAnsi="Arial" w:cs="Arial"/>
          <w:b/>
          <w:sz w:val="24"/>
          <w:szCs w:val="24"/>
        </w:rPr>
        <w:t>Abbot Hall</w:t>
      </w:r>
      <w:r w:rsidRPr="005F53CF">
        <w:rPr>
          <w:rFonts w:ascii="Arial" w:hAnsi="Arial" w:cs="Arial"/>
          <w:sz w:val="24"/>
          <w:szCs w:val="24"/>
        </w:rPr>
        <w:t xml:space="preserve"> is home to </w:t>
      </w:r>
      <w:r w:rsidR="00D47CCA" w:rsidRPr="005F53CF">
        <w:rPr>
          <w:rFonts w:ascii="Arial" w:hAnsi="Arial" w:cs="Arial"/>
          <w:sz w:val="24"/>
          <w:szCs w:val="24"/>
        </w:rPr>
        <w:t>a</w:t>
      </w:r>
      <w:r w:rsidRPr="005F53CF">
        <w:rPr>
          <w:rFonts w:ascii="Arial" w:hAnsi="Arial" w:cs="Arial"/>
          <w:sz w:val="24"/>
          <w:szCs w:val="24"/>
        </w:rPr>
        <w:t xml:space="preserve"> significant visual arts collection</w:t>
      </w:r>
      <w:r w:rsidR="00D47CCA" w:rsidRPr="005F53CF">
        <w:rPr>
          <w:rFonts w:ascii="Arial" w:hAnsi="Arial" w:cs="Arial"/>
          <w:sz w:val="24"/>
          <w:szCs w:val="24"/>
        </w:rPr>
        <w:t xml:space="preserve"> in Kendal</w:t>
      </w:r>
      <w:r w:rsidR="00556E68">
        <w:rPr>
          <w:rFonts w:ascii="Arial" w:hAnsi="Arial" w:cs="Arial"/>
          <w:sz w:val="24"/>
          <w:szCs w:val="24"/>
        </w:rPr>
        <w:t>.</w:t>
      </w:r>
      <w:r w:rsidRPr="005F53CF">
        <w:rPr>
          <w:rFonts w:ascii="Arial" w:hAnsi="Arial" w:cs="Arial"/>
          <w:sz w:val="24"/>
          <w:szCs w:val="24"/>
        </w:rPr>
        <w:t xml:space="preserve"> </w:t>
      </w:r>
      <w:r w:rsidR="00D47CCA" w:rsidRPr="005F53CF">
        <w:rPr>
          <w:rFonts w:ascii="Arial" w:hAnsi="Arial" w:cs="Arial"/>
          <w:sz w:val="24"/>
          <w:szCs w:val="24"/>
        </w:rPr>
        <w:t>The project</w:t>
      </w:r>
      <w:r w:rsidRPr="005F53CF">
        <w:rPr>
          <w:rFonts w:ascii="Arial" w:hAnsi="Arial" w:cs="Arial"/>
          <w:sz w:val="24"/>
          <w:szCs w:val="24"/>
        </w:rPr>
        <w:t xml:space="preserve"> </w:t>
      </w:r>
      <w:r w:rsidR="00D47CCA" w:rsidRPr="005F53CF">
        <w:rPr>
          <w:rFonts w:ascii="Arial" w:hAnsi="Arial" w:cs="Arial"/>
          <w:sz w:val="24"/>
          <w:szCs w:val="24"/>
        </w:rPr>
        <w:t>will enable the</w:t>
      </w:r>
      <w:r w:rsidRPr="005F53CF">
        <w:rPr>
          <w:rFonts w:ascii="Arial" w:hAnsi="Arial" w:cs="Arial"/>
          <w:sz w:val="24"/>
          <w:szCs w:val="24"/>
        </w:rPr>
        <w:t xml:space="preserve"> </w:t>
      </w:r>
      <w:r w:rsidR="00D47CCA" w:rsidRPr="005F53CF">
        <w:rPr>
          <w:rFonts w:ascii="Arial" w:hAnsi="Arial" w:cs="Arial"/>
          <w:sz w:val="24"/>
          <w:szCs w:val="24"/>
        </w:rPr>
        <w:t>m</w:t>
      </w:r>
      <w:r w:rsidRPr="005F53CF">
        <w:rPr>
          <w:rFonts w:ascii="Arial" w:hAnsi="Arial" w:cs="Arial"/>
          <w:sz w:val="24"/>
          <w:szCs w:val="24"/>
        </w:rPr>
        <w:t xml:space="preserve">useum will undergo vital refurbishment across its Main Galleries; </w:t>
      </w:r>
      <w:r w:rsidR="00D47CCA" w:rsidRPr="005F53CF">
        <w:rPr>
          <w:rFonts w:ascii="Arial" w:hAnsi="Arial" w:cs="Arial"/>
          <w:sz w:val="24"/>
          <w:szCs w:val="24"/>
        </w:rPr>
        <w:t>create</w:t>
      </w:r>
      <w:r w:rsidRPr="005F53CF">
        <w:rPr>
          <w:rFonts w:ascii="Arial" w:hAnsi="Arial" w:cs="Arial"/>
          <w:sz w:val="24"/>
          <w:szCs w:val="24"/>
        </w:rPr>
        <w:t xml:space="preserve"> a new Project Space for exhibitions and artist residencies, community projects and workshops; and achieve full accessibility across the buildings and site</w:t>
      </w:r>
      <w:r w:rsidR="00D47CCA" w:rsidRPr="005F53CF">
        <w:rPr>
          <w:rFonts w:ascii="Arial" w:hAnsi="Arial" w:cs="Arial"/>
          <w:sz w:val="24"/>
          <w:szCs w:val="24"/>
        </w:rPr>
        <w:t>. The project is expected to commence in 2019/20 and be completed in 2020/21.</w:t>
      </w:r>
    </w:p>
    <w:p w14:paraId="34D5D51E" w14:textId="42E808E8" w:rsidR="00240D6A" w:rsidRPr="00556E68" w:rsidRDefault="00240D6A" w:rsidP="0078326A">
      <w:pPr>
        <w:pStyle w:val="Heading2"/>
        <w:ind w:left="0"/>
        <w:rPr>
          <w:rFonts w:ascii="Arial" w:hAnsi="Arial" w:cs="Arial"/>
          <w:i w:val="0"/>
          <w:sz w:val="24"/>
          <w:szCs w:val="24"/>
        </w:rPr>
      </w:pPr>
      <w:bookmarkStart w:id="2" w:name="_Hlk6923837"/>
      <w:bookmarkEnd w:id="1"/>
      <w:r w:rsidRPr="00556E68">
        <w:rPr>
          <w:rFonts w:ascii="Arial" w:hAnsi="Arial" w:cs="Arial"/>
          <w:i w:val="0"/>
          <w:sz w:val="24"/>
          <w:szCs w:val="24"/>
        </w:rPr>
        <w:t>Career Hub/Enterprise Advisors</w:t>
      </w:r>
    </w:p>
    <w:p w14:paraId="49D9F938" w14:textId="5152CA8F" w:rsidR="00D847F0" w:rsidRPr="005F53CF" w:rsidRDefault="00D847F0" w:rsidP="00D847F0">
      <w:pPr>
        <w:pStyle w:val="Heading5"/>
        <w:rPr>
          <w:rFonts w:ascii="Arial" w:hAnsi="Arial" w:cs="Arial"/>
          <w:sz w:val="24"/>
          <w:szCs w:val="24"/>
        </w:rPr>
      </w:pPr>
      <w:r w:rsidRPr="005F53CF">
        <w:rPr>
          <w:rFonts w:ascii="Arial" w:hAnsi="Arial" w:cs="Arial"/>
          <w:sz w:val="24"/>
          <w:szCs w:val="24"/>
        </w:rPr>
        <w:t>The Enterprise Adviser Network (EAN) was launched in Cumbria in 2016.  It is a programme that focuses on developing a national network that connects schools and colleges with employers and careers programme providers and supports them to work together to provide young people with effective and high-quality encounters with the world of work. This work was undertaken in partnership the Careers and Enterprise Company.</w:t>
      </w:r>
    </w:p>
    <w:p w14:paraId="4A3AC5EA" w14:textId="2743810E" w:rsidR="00D847F0" w:rsidRPr="005F53CF" w:rsidRDefault="00D847F0" w:rsidP="00D847F0">
      <w:pPr>
        <w:pStyle w:val="Heading5"/>
        <w:rPr>
          <w:rFonts w:ascii="Arial" w:hAnsi="Arial" w:cs="Arial"/>
          <w:sz w:val="24"/>
          <w:szCs w:val="24"/>
        </w:rPr>
      </w:pPr>
      <w:r w:rsidRPr="005F53CF">
        <w:rPr>
          <w:rFonts w:ascii="Arial" w:hAnsi="Arial" w:cs="Arial"/>
          <w:sz w:val="24"/>
          <w:szCs w:val="24"/>
        </w:rPr>
        <w:t>In July 2018 building on this work, CLEP with the backing of local education and skills partners, employers and stakeholders was successful in its bid to take part in a national pilot to establish a Careers Hub.  The purpose of the Career Hub is to transform careers education for young people through:</w:t>
      </w:r>
    </w:p>
    <w:p w14:paraId="4BC7836A" w14:textId="0BB72319" w:rsidR="00D847F0" w:rsidRPr="005F53CF" w:rsidRDefault="00D847F0" w:rsidP="00D847F0">
      <w:pPr>
        <w:pStyle w:val="Heading7"/>
        <w:rPr>
          <w:rFonts w:ascii="Arial" w:hAnsi="Arial" w:cs="Arial"/>
          <w:sz w:val="24"/>
          <w:szCs w:val="24"/>
        </w:rPr>
      </w:pPr>
      <w:r w:rsidRPr="005F53CF">
        <w:rPr>
          <w:rFonts w:ascii="Arial" w:hAnsi="Arial" w:cs="Arial"/>
          <w:sz w:val="24"/>
          <w:szCs w:val="24"/>
        </w:rPr>
        <w:t>Continued building of networks across schools, colleges to employers and other external careers advisers</w:t>
      </w:r>
    </w:p>
    <w:p w14:paraId="40095871" w14:textId="682A27C7" w:rsidR="00D847F0" w:rsidRPr="005F53CF" w:rsidRDefault="00D847F0" w:rsidP="00D847F0">
      <w:pPr>
        <w:pStyle w:val="Heading7"/>
        <w:rPr>
          <w:rFonts w:ascii="Arial" w:hAnsi="Arial" w:cs="Arial"/>
          <w:sz w:val="24"/>
          <w:szCs w:val="24"/>
        </w:rPr>
      </w:pPr>
      <w:r w:rsidRPr="005F53CF">
        <w:rPr>
          <w:rFonts w:ascii="Arial" w:hAnsi="Arial" w:cs="Arial"/>
          <w:sz w:val="24"/>
          <w:szCs w:val="24"/>
        </w:rPr>
        <w:t>Supporting careers leaders – by providing training and support</w:t>
      </w:r>
    </w:p>
    <w:p w14:paraId="4192C636" w14:textId="55EEA09C" w:rsidR="00D847F0" w:rsidRPr="005F53CF" w:rsidRDefault="00D847F0" w:rsidP="00D847F0">
      <w:pPr>
        <w:pStyle w:val="Heading7"/>
        <w:rPr>
          <w:rFonts w:ascii="Arial" w:hAnsi="Arial" w:cs="Arial"/>
          <w:sz w:val="24"/>
          <w:szCs w:val="24"/>
        </w:rPr>
      </w:pPr>
      <w:r w:rsidRPr="005F53CF">
        <w:rPr>
          <w:rFonts w:ascii="Arial" w:hAnsi="Arial" w:cs="Arial"/>
          <w:sz w:val="24"/>
          <w:szCs w:val="24"/>
        </w:rPr>
        <w:t xml:space="preserve">Supporting schools and colleges to achieve the eight Gatsby benchmarks- Indicators of good quality careers advice by supporting and developing excellence and innovation in practice.  </w:t>
      </w:r>
    </w:p>
    <w:p w14:paraId="36CAD352" w14:textId="458058FD" w:rsidR="00D847F0" w:rsidRPr="005F53CF" w:rsidRDefault="00D847F0" w:rsidP="00D847F0">
      <w:pPr>
        <w:pStyle w:val="Heading5"/>
        <w:rPr>
          <w:rFonts w:ascii="Arial" w:hAnsi="Arial" w:cs="Arial"/>
          <w:sz w:val="24"/>
          <w:szCs w:val="24"/>
        </w:rPr>
      </w:pPr>
      <w:r w:rsidRPr="005F53CF">
        <w:rPr>
          <w:rFonts w:ascii="Arial" w:hAnsi="Arial" w:cs="Arial"/>
          <w:sz w:val="24"/>
          <w:szCs w:val="24"/>
        </w:rPr>
        <w:t xml:space="preserve">During 2018/19 we made considerable progress. The Hub lead was recruited and 40 schools and colleges were engaged with the Hub – The target is to ensure all schools and colleges are matched to an enterprise adviser by July 2019. The Careers Hub programme at this stage is set to run until August 2020.  The national commitment to the Enterprise Adviser Network is set to continue beyond this date. </w:t>
      </w:r>
    </w:p>
    <w:p w14:paraId="1E19B221" w14:textId="7031B134" w:rsidR="00D847F0" w:rsidRPr="005F53CF" w:rsidRDefault="00D847F0" w:rsidP="00D847F0">
      <w:pPr>
        <w:pStyle w:val="Heading5"/>
        <w:rPr>
          <w:rFonts w:ascii="Arial" w:hAnsi="Arial" w:cs="Arial"/>
          <w:sz w:val="24"/>
          <w:szCs w:val="24"/>
        </w:rPr>
      </w:pPr>
      <w:r w:rsidRPr="005F53CF">
        <w:rPr>
          <w:rFonts w:ascii="Arial" w:hAnsi="Arial" w:cs="Arial"/>
          <w:sz w:val="24"/>
          <w:szCs w:val="24"/>
        </w:rPr>
        <w:t>Targets for 2018/2019 (Academic) are:</w:t>
      </w:r>
    </w:p>
    <w:p w14:paraId="79DB4009" w14:textId="3D680F40" w:rsidR="00D847F0" w:rsidRPr="005F53CF" w:rsidRDefault="00D847F0" w:rsidP="006950C0">
      <w:pPr>
        <w:pStyle w:val="Heading7"/>
        <w:rPr>
          <w:rFonts w:ascii="Arial" w:hAnsi="Arial" w:cs="Arial"/>
          <w:sz w:val="24"/>
          <w:szCs w:val="24"/>
        </w:rPr>
      </w:pPr>
      <w:r w:rsidRPr="005F53CF">
        <w:rPr>
          <w:rFonts w:ascii="Arial" w:hAnsi="Arial" w:cs="Arial"/>
          <w:sz w:val="24"/>
          <w:szCs w:val="24"/>
        </w:rPr>
        <w:t xml:space="preserve">80% of all Hub institutions fully achieve the Gatsby Benchmark 5 (for encounters with employers and employees) </w:t>
      </w:r>
    </w:p>
    <w:p w14:paraId="6B348670" w14:textId="77777777" w:rsidR="00D847F0" w:rsidRPr="005F53CF" w:rsidRDefault="00D847F0" w:rsidP="006950C0">
      <w:pPr>
        <w:pStyle w:val="Heading7"/>
        <w:rPr>
          <w:rFonts w:ascii="Arial" w:hAnsi="Arial" w:cs="Arial"/>
          <w:sz w:val="24"/>
          <w:szCs w:val="24"/>
        </w:rPr>
      </w:pPr>
      <w:r w:rsidRPr="005F53CF">
        <w:rPr>
          <w:rFonts w:ascii="Arial" w:hAnsi="Arial" w:cs="Arial"/>
          <w:sz w:val="24"/>
          <w:szCs w:val="24"/>
        </w:rPr>
        <w:t>50% reduction of Hub institutions scoring in the 0-25% achievement category for this benchmark</w:t>
      </w:r>
    </w:p>
    <w:p w14:paraId="5916698D" w14:textId="03CF407E" w:rsidR="00D847F0" w:rsidRPr="005F53CF" w:rsidRDefault="00D847F0" w:rsidP="006950C0">
      <w:pPr>
        <w:pStyle w:val="Heading7"/>
        <w:rPr>
          <w:rFonts w:ascii="Arial" w:hAnsi="Arial" w:cs="Arial"/>
          <w:sz w:val="24"/>
          <w:szCs w:val="24"/>
        </w:rPr>
      </w:pPr>
      <w:r w:rsidRPr="005F53CF">
        <w:rPr>
          <w:rFonts w:ascii="Arial" w:hAnsi="Arial" w:cs="Arial"/>
          <w:sz w:val="24"/>
          <w:szCs w:val="24"/>
        </w:rPr>
        <w:t>50% of all Hub Institutions to have achieved Gatsby Benchmark 6</w:t>
      </w:r>
      <w:r w:rsidR="00556E68">
        <w:rPr>
          <w:rFonts w:ascii="Arial" w:hAnsi="Arial" w:cs="Arial"/>
          <w:sz w:val="24"/>
          <w:szCs w:val="24"/>
        </w:rPr>
        <w:t xml:space="preserve"> </w:t>
      </w:r>
      <w:r w:rsidRPr="005F53CF">
        <w:rPr>
          <w:rFonts w:ascii="Arial" w:hAnsi="Arial" w:cs="Arial"/>
          <w:sz w:val="24"/>
          <w:szCs w:val="24"/>
        </w:rPr>
        <w:t>(Experiences of the workplace)</w:t>
      </w:r>
    </w:p>
    <w:p w14:paraId="4BDC3198" w14:textId="77777777" w:rsidR="00D847F0" w:rsidRPr="005F53CF" w:rsidRDefault="00D847F0" w:rsidP="006950C0">
      <w:pPr>
        <w:pStyle w:val="Heading7"/>
        <w:rPr>
          <w:rFonts w:ascii="Arial" w:hAnsi="Arial" w:cs="Arial"/>
          <w:sz w:val="24"/>
          <w:szCs w:val="24"/>
        </w:rPr>
      </w:pPr>
      <w:r w:rsidRPr="005F53CF">
        <w:rPr>
          <w:rFonts w:ascii="Arial" w:hAnsi="Arial" w:cs="Arial"/>
          <w:sz w:val="24"/>
          <w:szCs w:val="24"/>
        </w:rPr>
        <w:t>A further 35% of Hub institutions partially achieve benchmark 6</w:t>
      </w:r>
    </w:p>
    <w:p w14:paraId="59677939" w14:textId="77777777" w:rsidR="00D847F0" w:rsidRPr="005F53CF" w:rsidRDefault="00D847F0" w:rsidP="006950C0">
      <w:pPr>
        <w:pStyle w:val="Heading7"/>
        <w:rPr>
          <w:rFonts w:ascii="Arial" w:hAnsi="Arial" w:cs="Arial"/>
          <w:sz w:val="24"/>
          <w:szCs w:val="24"/>
        </w:rPr>
      </w:pPr>
      <w:r w:rsidRPr="005F53CF">
        <w:rPr>
          <w:rFonts w:ascii="Arial" w:hAnsi="Arial" w:cs="Arial"/>
          <w:sz w:val="24"/>
          <w:szCs w:val="24"/>
        </w:rPr>
        <w:t>An average of 4 Gatsby Benchmarks by all Careers Hub schools and colleges.</w:t>
      </w:r>
    </w:p>
    <w:p w14:paraId="7B77AB5B" w14:textId="40E9E609" w:rsidR="00D847F0" w:rsidRPr="005F53CF" w:rsidRDefault="00D847F0" w:rsidP="00D847F0">
      <w:pPr>
        <w:pStyle w:val="Heading5"/>
        <w:rPr>
          <w:rFonts w:ascii="Arial" w:hAnsi="Arial" w:cs="Arial"/>
          <w:sz w:val="24"/>
          <w:szCs w:val="24"/>
        </w:rPr>
      </w:pPr>
      <w:r w:rsidRPr="005F53CF">
        <w:rPr>
          <w:rFonts w:ascii="Arial" w:hAnsi="Arial" w:cs="Arial"/>
          <w:sz w:val="24"/>
          <w:szCs w:val="24"/>
        </w:rPr>
        <w:t>Targets for 2019/2020 (Academic) are:</w:t>
      </w:r>
    </w:p>
    <w:p w14:paraId="48104BBE" w14:textId="77777777" w:rsidR="00D847F0" w:rsidRPr="005F53CF" w:rsidRDefault="00D847F0" w:rsidP="006950C0">
      <w:pPr>
        <w:pStyle w:val="Heading7"/>
        <w:rPr>
          <w:rFonts w:ascii="Arial" w:hAnsi="Arial" w:cs="Arial"/>
          <w:sz w:val="24"/>
          <w:szCs w:val="24"/>
        </w:rPr>
      </w:pPr>
      <w:r w:rsidRPr="005F53CF">
        <w:rPr>
          <w:rFonts w:ascii="Arial" w:hAnsi="Arial" w:cs="Arial"/>
          <w:sz w:val="24"/>
          <w:szCs w:val="24"/>
        </w:rPr>
        <w:t xml:space="preserve">90% of all Hub institutions fully achieve the Gatsby Benchmark 5 (for encounters with employers and employees) </w:t>
      </w:r>
    </w:p>
    <w:p w14:paraId="3436819B" w14:textId="77777777" w:rsidR="00D847F0" w:rsidRPr="005F53CF" w:rsidRDefault="00D847F0" w:rsidP="006950C0">
      <w:pPr>
        <w:pStyle w:val="Heading7"/>
        <w:rPr>
          <w:rFonts w:ascii="Arial" w:hAnsi="Arial" w:cs="Arial"/>
          <w:sz w:val="24"/>
          <w:szCs w:val="24"/>
        </w:rPr>
      </w:pPr>
      <w:r w:rsidRPr="005F53CF">
        <w:rPr>
          <w:rFonts w:ascii="Arial" w:hAnsi="Arial" w:cs="Arial"/>
          <w:sz w:val="24"/>
          <w:szCs w:val="24"/>
        </w:rPr>
        <w:t>No Hub schools/colleges scoring in the 0-25% category for benchmark 5</w:t>
      </w:r>
    </w:p>
    <w:p w14:paraId="2A16D906" w14:textId="30CBB833" w:rsidR="00D847F0" w:rsidRPr="005F53CF" w:rsidRDefault="00D847F0" w:rsidP="006950C0">
      <w:pPr>
        <w:pStyle w:val="Heading7"/>
        <w:rPr>
          <w:rFonts w:ascii="Arial" w:hAnsi="Arial" w:cs="Arial"/>
          <w:sz w:val="24"/>
          <w:szCs w:val="24"/>
        </w:rPr>
      </w:pPr>
      <w:r w:rsidRPr="005F53CF">
        <w:rPr>
          <w:rFonts w:ascii="Arial" w:hAnsi="Arial" w:cs="Arial"/>
          <w:sz w:val="24"/>
          <w:szCs w:val="24"/>
        </w:rPr>
        <w:t xml:space="preserve">60% of all Hub Institutions to have achieved Gatsby Benchmark </w:t>
      </w:r>
      <w:r w:rsidR="00774231" w:rsidRPr="005F53CF">
        <w:rPr>
          <w:rFonts w:ascii="Arial" w:hAnsi="Arial" w:cs="Arial"/>
          <w:sz w:val="24"/>
          <w:szCs w:val="24"/>
        </w:rPr>
        <w:t>6(Experiences</w:t>
      </w:r>
      <w:r w:rsidRPr="005F53CF">
        <w:rPr>
          <w:rFonts w:ascii="Arial" w:hAnsi="Arial" w:cs="Arial"/>
          <w:sz w:val="24"/>
          <w:szCs w:val="24"/>
        </w:rPr>
        <w:t xml:space="preserve"> of the </w:t>
      </w:r>
      <w:r w:rsidR="00774231" w:rsidRPr="005F53CF">
        <w:rPr>
          <w:rFonts w:ascii="Arial" w:hAnsi="Arial" w:cs="Arial"/>
          <w:sz w:val="24"/>
          <w:szCs w:val="24"/>
        </w:rPr>
        <w:t>workplace) A</w:t>
      </w:r>
      <w:r w:rsidRPr="005F53CF">
        <w:rPr>
          <w:rFonts w:ascii="Arial" w:hAnsi="Arial" w:cs="Arial"/>
          <w:sz w:val="24"/>
          <w:szCs w:val="24"/>
        </w:rPr>
        <w:t xml:space="preserve"> further 35% of Hub institutions partially achieve benchmark 6</w:t>
      </w:r>
    </w:p>
    <w:p w14:paraId="61ED64B6" w14:textId="49907A1F" w:rsidR="00D847F0" w:rsidRPr="005F53CF" w:rsidRDefault="00D847F0" w:rsidP="006950C0">
      <w:pPr>
        <w:pStyle w:val="Heading7"/>
        <w:rPr>
          <w:rFonts w:ascii="Arial" w:hAnsi="Arial" w:cs="Arial"/>
          <w:sz w:val="24"/>
          <w:szCs w:val="24"/>
        </w:rPr>
      </w:pPr>
      <w:r w:rsidRPr="005F53CF">
        <w:rPr>
          <w:rFonts w:ascii="Arial" w:hAnsi="Arial" w:cs="Arial"/>
          <w:sz w:val="24"/>
          <w:szCs w:val="24"/>
        </w:rPr>
        <w:t>An average of 6 Gatsby Benchmarks by all Careers Hub schools and colleges and full achievement of all 8 benchmarks by lead schools / college.</w:t>
      </w:r>
    </w:p>
    <w:bookmarkEnd w:id="2"/>
    <w:p w14:paraId="05ABA5A4" w14:textId="582224E0" w:rsidR="00A05528" w:rsidRPr="00556E68" w:rsidRDefault="00240D6A" w:rsidP="0078326A">
      <w:pPr>
        <w:pStyle w:val="Heading2"/>
        <w:ind w:left="0"/>
        <w:rPr>
          <w:rFonts w:ascii="Arial" w:hAnsi="Arial" w:cs="Arial"/>
          <w:i w:val="0"/>
          <w:sz w:val="24"/>
          <w:szCs w:val="24"/>
        </w:rPr>
      </w:pPr>
      <w:r w:rsidRPr="00556E68">
        <w:rPr>
          <w:rFonts w:ascii="Arial" w:hAnsi="Arial" w:cs="Arial"/>
          <w:i w:val="0"/>
          <w:sz w:val="24"/>
          <w:szCs w:val="24"/>
        </w:rPr>
        <w:t>International Trade (DIT)</w:t>
      </w:r>
    </w:p>
    <w:p w14:paraId="098A6F69" w14:textId="5D5915C0" w:rsidR="00C44861" w:rsidRPr="005F53CF" w:rsidRDefault="00C44861" w:rsidP="00D47CCA">
      <w:pPr>
        <w:pStyle w:val="Heading5"/>
        <w:rPr>
          <w:rFonts w:ascii="Arial" w:hAnsi="Arial" w:cs="Arial"/>
          <w:sz w:val="24"/>
          <w:szCs w:val="24"/>
        </w:rPr>
      </w:pPr>
      <w:r w:rsidRPr="005F53CF">
        <w:rPr>
          <w:rFonts w:ascii="Arial" w:hAnsi="Arial" w:cs="Arial"/>
          <w:sz w:val="24"/>
          <w:szCs w:val="24"/>
        </w:rPr>
        <w:t xml:space="preserve">During 2018/19 CLEP re-commenced NPH Key Account Management (KAM) during Quarter 4, after a period of non-engagement. The focus of Quarter 4 activity was therefore in establishing: </w:t>
      </w:r>
    </w:p>
    <w:p w14:paraId="3234E14D" w14:textId="77777777" w:rsidR="00C44861" w:rsidRPr="005F53CF" w:rsidRDefault="00C44861" w:rsidP="00C44861">
      <w:pPr>
        <w:pStyle w:val="Heading7"/>
        <w:rPr>
          <w:rFonts w:ascii="Arial" w:hAnsi="Arial" w:cs="Arial"/>
          <w:sz w:val="24"/>
          <w:szCs w:val="24"/>
        </w:rPr>
      </w:pPr>
      <w:r w:rsidRPr="005F53CF">
        <w:rPr>
          <w:rFonts w:ascii="Arial" w:hAnsi="Arial" w:cs="Arial"/>
          <w:sz w:val="24"/>
          <w:szCs w:val="24"/>
        </w:rPr>
        <w:t xml:space="preserve">a baseline position of internationally owned businesses, </w:t>
      </w:r>
    </w:p>
    <w:p w14:paraId="661F3FF3" w14:textId="77777777" w:rsidR="00C44861" w:rsidRPr="005F53CF" w:rsidRDefault="00C44861" w:rsidP="00C44861">
      <w:pPr>
        <w:pStyle w:val="Heading7"/>
        <w:rPr>
          <w:rFonts w:ascii="Arial" w:hAnsi="Arial" w:cs="Arial"/>
          <w:sz w:val="24"/>
          <w:szCs w:val="24"/>
        </w:rPr>
      </w:pPr>
      <w:r w:rsidRPr="005F53CF">
        <w:rPr>
          <w:rFonts w:ascii="Arial" w:hAnsi="Arial" w:cs="Arial"/>
          <w:sz w:val="24"/>
          <w:szCs w:val="24"/>
        </w:rPr>
        <w:t xml:space="preserve">a refreshed DIT datahub with up to date information and </w:t>
      </w:r>
    </w:p>
    <w:p w14:paraId="2020A3E1" w14:textId="56339888" w:rsidR="00C44861" w:rsidRPr="005F53CF" w:rsidRDefault="00C44861" w:rsidP="00C44861">
      <w:pPr>
        <w:pStyle w:val="Heading7"/>
        <w:rPr>
          <w:rFonts w:ascii="Arial" w:hAnsi="Arial" w:cs="Arial"/>
          <w:sz w:val="24"/>
          <w:szCs w:val="24"/>
        </w:rPr>
      </w:pPr>
      <w:r w:rsidRPr="005F53CF">
        <w:rPr>
          <w:rFonts w:ascii="Arial" w:hAnsi="Arial" w:cs="Arial"/>
          <w:sz w:val="24"/>
          <w:szCs w:val="24"/>
        </w:rPr>
        <w:t xml:space="preserve">identification of at least 18 locally managed companies (plus an additional 5 One List KAM portfolio companies) which show growth potential through appropriate contact, visits and the associated reports (in line with the DIT Account Management Framework </w:t>
      </w:r>
    </w:p>
    <w:p w14:paraId="3488EB1F" w14:textId="0B614423" w:rsidR="00240D6A" w:rsidRPr="005F53CF" w:rsidRDefault="00C44861" w:rsidP="00C44861">
      <w:pPr>
        <w:pStyle w:val="Heading5"/>
        <w:rPr>
          <w:rFonts w:ascii="Arial" w:hAnsi="Arial" w:cs="Arial"/>
          <w:sz w:val="24"/>
          <w:szCs w:val="24"/>
        </w:rPr>
      </w:pPr>
      <w:r w:rsidRPr="005F53CF">
        <w:rPr>
          <w:rFonts w:ascii="Arial" w:hAnsi="Arial" w:cs="Arial"/>
          <w:sz w:val="24"/>
          <w:szCs w:val="24"/>
        </w:rPr>
        <w:t xml:space="preserve">Proposed activity in 2019/20 is therefore focused on taking this work programme into implementation phase. In addition, there is the potential for an additional 8 One lists Companies, plus a number of new entrants around the recently announced Frameworks at Sellafield </w:t>
      </w:r>
      <w:r w:rsidR="00240D6A" w:rsidRPr="005F53CF">
        <w:rPr>
          <w:rFonts w:ascii="Arial" w:hAnsi="Arial" w:cs="Arial"/>
          <w:sz w:val="24"/>
          <w:szCs w:val="24"/>
        </w:rPr>
        <w:t>CLEP Strategic Activity</w:t>
      </w:r>
      <w:r w:rsidRPr="005F53CF">
        <w:rPr>
          <w:rFonts w:ascii="Arial" w:hAnsi="Arial" w:cs="Arial"/>
          <w:sz w:val="24"/>
          <w:szCs w:val="24"/>
        </w:rPr>
        <w:t>.</w:t>
      </w:r>
    </w:p>
    <w:p w14:paraId="174DEBCC" w14:textId="151431A0" w:rsidR="00240D6A" w:rsidRPr="005F53CF" w:rsidRDefault="00240D6A" w:rsidP="008535DA">
      <w:pPr>
        <w:pStyle w:val="Heading1"/>
      </w:pPr>
      <w:r w:rsidRPr="005F53CF">
        <w:t>Multi-LEP</w:t>
      </w:r>
      <w:r w:rsidR="00B05345" w:rsidRPr="005F53CF">
        <w:t xml:space="preserve"> and working outside Cumbria</w:t>
      </w:r>
      <w:r w:rsidRPr="005F53CF">
        <w:t xml:space="preserve"> </w:t>
      </w:r>
    </w:p>
    <w:p w14:paraId="7D768465" w14:textId="004FF4CB" w:rsidR="00240D6A" w:rsidRPr="005F53CF" w:rsidRDefault="00240D6A" w:rsidP="00D47CCA">
      <w:pPr>
        <w:pStyle w:val="Heading5"/>
        <w:rPr>
          <w:rFonts w:ascii="Arial" w:hAnsi="Arial" w:cs="Arial"/>
          <w:sz w:val="24"/>
          <w:szCs w:val="24"/>
        </w:rPr>
      </w:pPr>
      <w:r w:rsidRPr="005F53CF">
        <w:rPr>
          <w:rFonts w:ascii="Arial" w:hAnsi="Arial" w:cs="Arial"/>
          <w:sz w:val="24"/>
          <w:szCs w:val="24"/>
        </w:rPr>
        <w:t xml:space="preserve"> </w:t>
      </w:r>
      <w:r w:rsidR="00B86D60" w:rsidRPr="005F53CF">
        <w:rPr>
          <w:rFonts w:ascii="Arial" w:hAnsi="Arial" w:cs="Arial"/>
          <w:sz w:val="24"/>
          <w:szCs w:val="24"/>
        </w:rPr>
        <w:t xml:space="preserve">CLEP is involved </w:t>
      </w:r>
      <w:r w:rsidR="008535DA">
        <w:rPr>
          <w:rFonts w:ascii="Arial" w:hAnsi="Arial" w:cs="Arial"/>
          <w:sz w:val="24"/>
          <w:szCs w:val="24"/>
        </w:rPr>
        <w:t>in</w:t>
      </w:r>
      <w:r w:rsidR="00B86D60" w:rsidRPr="005F53CF">
        <w:rPr>
          <w:rFonts w:ascii="Arial" w:hAnsi="Arial" w:cs="Arial"/>
          <w:sz w:val="24"/>
          <w:szCs w:val="24"/>
        </w:rPr>
        <w:t xml:space="preserve"> several partnerships and range of activities outside our boundaries:</w:t>
      </w:r>
    </w:p>
    <w:p w14:paraId="3763016B" w14:textId="6C80D0CE" w:rsidR="007D6B63" w:rsidRPr="005F53CF" w:rsidRDefault="007D6B63" w:rsidP="00B86D60">
      <w:pPr>
        <w:pStyle w:val="Heading7"/>
        <w:rPr>
          <w:rFonts w:ascii="Arial" w:hAnsi="Arial" w:cs="Arial"/>
          <w:sz w:val="24"/>
          <w:szCs w:val="24"/>
        </w:rPr>
      </w:pPr>
      <w:r w:rsidRPr="005F53CF">
        <w:rPr>
          <w:rFonts w:ascii="Arial" w:hAnsi="Arial" w:cs="Arial"/>
          <w:sz w:val="24"/>
          <w:szCs w:val="24"/>
        </w:rPr>
        <w:t>CLEP is a member of the Northern Powerhouse 11 (NP11) and has committed to work collaboratively with the other 10 LEPs within the NP11 on the work programme that is being developed. We are currently taking a lead on the Places work for NP11.</w:t>
      </w:r>
    </w:p>
    <w:p w14:paraId="6BCFD246" w14:textId="77777777" w:rsidR="007D6B63" w:rsidRPr="005F53CF" w:rsidRDefault="007D6B63" w:rsidP="007D6B63">
      <w:pPr>
        <w:pStyle w:val="Heading7"/>
        <w:rPr>
          <w:rFonts w:ascii="Arial" w:hAnsi="Arial" w:cs="Arial"/>
          <w:sz w:val="24"/>
          <w:szCs w:val="24"/>
        </w:rPr>
      </w:pPr>
      <w:r w:rsidRPr="005F53CF">
        <w:rPr>
          <w:rFonts w:ascii="Arial" w:hAnsi="Arial" w:cs="Arial"/>
          <w:sz w:val="24"/>
          <w:szCs w:val="24"/>
        </w:rPr>
        <w:t xml:space="preserve">The cross-LEP working on the nuclear sector with the other North West LEPs, Heart of the South West and New Anglia LEPs. </w:t>
      </w:r>
    </w:p>
    <w:p w14:paraId="3238CB23" w14:textId="336ADA34" w:rsidR="00B86D60" w:rsidRPr="005F53CF" w:rsidRDefault="00663A0E" w:rsidP="00B86D60">
      <w:pPr>
        <w:pStyle w:val="Heading7"/>
        <w:rPr>
          <w:rFonts w:ascii="Arial" w:hAnsi="Arial" w:cs="Arial"/>
          <w:sz w:val="24"/>
          <w:szCs w:val="24"/>
        </w:rPr>
      </w:pPr>
      <w:r w:rsidRPr="005F53CF">
        <w:rPr>
          <w:rFonts w:ascii="Arial" w:hAnsi="Arial" w:cs="Arial"/>
          <w:sz w:val="24"/>
          <w:szCs w:val="24"/>
        </w:rPr>
        <w:t xml:space="preserve">CLEP is committed to and actively engaging in the Borderland Inclusive Growth Deal. This is a cross-Border initiative consisting of Carlisle City Council, Cumbria County Council, Dumfries and Galloway Council, Northumberland Council and Scottish Borders Council that received a substantial funding allocation in the March 2019 Budget Statement. </w:t>
      </w:r>
    </w:p>
    <w:p w14:paraId="6F0AD109" w14:textId="209C3973" w:rsidR="007D6B63" w:rsidRPr="005F53CF" w:rsidRDefault="007D6B63" w:rsidP="00B86D60">
      <w:pPr>
        <w:pStyle w:val="Heading7"/>
        <w:rPr>
          <w:rFonts w:ascii="Arial" w:hAnsi="Arial" w:cs="Arial"/>
          <w:sz w:val="24"/>
          <w:szCs w:val="24"/>
        </w:rPr>
      </w:pPr>
      <w:r w:rsidRPr="005F53CF">
        <w:rPr>
          <w:rFonts w:ascii="Arial" w:hAnsi="Arial" w:cs="Arial"/>
          <w:sz w:val="24"/>
          <w:szCs w:val="24"/>
        </w:rPr>
        <w:t>We work collaboratively with other adjoining LEPs on a project or strategic basis (</w:t>
      </w:r>
      <w:r w:rsidR="00774231" w:rsidRPr="005F53CF">
        <w:rPr>
          <w:rFonts w:ascii="Arial" w:hAnsi="Arial" w:cs="Arial"/>
          <w:sz w:val="24"/>
          <w:szCs w:val="24"/>
        </w:rPr>
        <w:t>e.g.</w:t>
      </w:r>
      <w:r w:rsidRPr="005F53CF">
        <w:rPr>
          <w:rFonts w:ascii="Arial" w:hAnsi="Arial" w:cs="Arial"/>
          <w:sz w:val="24"/>
          <w:szCs w:val="24"/>
        </w:rPr>
        <w:t xml:space="preserve"> with Lancashire LEP on the Morecambe Bay Economic Area proposal).</w:t>
      </w:r>
    </w:p>
    <w:p w14:paraId="46C21ED6" w14:textId="235B9E85" w:rsidR="00240D6A" w:rsidRPr="008535DA" w:rsidRDefault="00240D6A" w:rsidP="0078326A">
      <w:pPr>
        <w:pStyle w:val="Heading2"/>
        <w:ind w:left="0"/>
        <w:rPr>
          <w:rFonts w:ascii="Arial" w:hAnsi="Arial" w:cs="Arial"/>
          <w:i w:val="0"/>
          <w:sz w:val="24"/>
          <w:szCs w:val="24"/>
        </w:rPr>
      </w:pPr>
      <w:r w:rsidRPr="008535DA">
        <w:rPr>
          <w:rFonts w:ascii="Arial" w:hAnsi="Arial" w:cs="Arial"/>
          <w:i w:val="0"/>
          <w:sz w:val="24"/>
          <w:szCs w:val="24"/>
        </w:rPr>
        <w:t>Partnership working within Cumbria</w:t>
      </w:r>
    </w:p>
    <w:p w14:paraId="0CDD0AA5" w14:textId="54B22CE1" w:rsidR="00240D6A" w:rsidRPr="005F53CF" w:rsidRDefault="007D6B63" w:rsidP="00D47CCA">
      <w:pPr>
        <w:pStyle w:val="Heading5"/>
        <w:rPr>
          <w:rFonts w:ascii="Arial" w:hAnsi="Arial" w:cs="Arial"/>
          <w:sz w:val="24"/>
          <w:szCs w:val="24"/>
        </w:rPr>
      </w:pPr>
      <w:r w:rsidRPr="005F53CF">
        <w:rPr>
          <w:rFonts w:ascii="Arial" w:hAnsi="Arial" w:cs="Arial"/>
          <w:sz w:val="24"/>
          <w:szCs w:val="24"/>
        </w:rPr>
        <w:t xml:space="preserve">During 2018/19, as </w:t>
      </w:r>
      <w:r w:rsidR="008535DA">
        <w:rPr>
          <w:rFonts w:ascii="Arial" w:hAnsi="Arial" w:cs="Arial"/>
          <w:sz w:val="24"/>
          <w:szCs w:val="24"/>
        </w:rPr>
        <w:t>outlined previously</w:t>
      </w:r>
      <w:r w:rsidRPr="005F53CF">
        <w:rPr>
          <w:rFonts w:ascii="Arial" w:hAnsi="Arial" w:cs="Arial"/>
          <w:sz w:val="24"/>
          <w:szCs w:val="24"/>
        </w:rPr>
        <w:t xml:space="preserve">, </w:t>
      </w:r>
      <w:r w:rsidR="008535DA">
        <w:rPr>
          <w:rFonts w:ascii="Arial" w:hAnsi="Arial" w:cs="Arial"/>
          <w:sz w:val="24"/>
          <w:szCs w:val="24"/>
        </w:rPr>
        <w:t>C</w:t>
      </w:r>
      <w:r w:rsidRPr="005F53CF">
        <w:rPr>
          <w:rFonts w:ascii="Arial" w:hAnsi="Arial" w:cs="Arial"/>
          <w:sz w:val="24"/>
          <w:szCs w:val="24"/>
        </w:rPr>
        <w:t xml:space="preserve">LEP had a particularly intensive programme of partnership working associated with the development of our LIS and new governance structures. </w:t>
      </w:r>
    </w:p>
    <w:p w14:paraId="077DCA65" w14:textId="77777777" w:rsidR="007D6B63" w:rsidRPr="008535DA" w:rsidRDefault="007D6B63" w:rsidP="0078326A">
      <w:pPr>
        <w:pStyle w:val="Heading4"/>
        <w:ind w:left="0"/>
        <w:rPr>
          <w:rFonts w:ascii="Arial" w:hAnsi="Arial" w:cs="Arial"/>
          <w:b/>
          <w:i w:val="0"/>
          <w:szCs w:val="24"/>
        </w:rPr>
      </w:pPr>
      <w:r w:rsidRPr="008535DA">
        <w:rPr>
          <w:rFonts w:ascii="Arial" w:hAnsi="Arial" w:cs="Arial"/>
          <w:b/>
          <w:i w:val="0"/>
          <w:szCs w:val="24"/>
        </w:rPr>
        <w:t>Engaging with the business community</w:t>
      </w:r>
    </w:p>
    <w:p w14:paraId="22EF5F69" w14:textId="3F2A68C5" w:rsidR="007D6B63" w:rsidRPr="005F53CF" w:rsidRDefault="007D6B63" w:rsidP="007D6B63">
      <w:pPr>
        <w:pStyle w:val="Heading5"/>
        <w:rPr>
          <w:rFonts w:ascii="Arial" w:hAnsi="Arial" w:cs="Arial"/>
          <w:sz w:val="24"/>
          <w:szCs w:val="24"/>
        </w:rPr>
      </w:pPr>
      <w:r w:rsidRPr="005F53CF">
        <w:rPr>
          <w:rFonts w:ascii="Arial" w:hAnsi="Arial" w:cs="Arial"/>
          <w:sz w:val="24"/>
          <w:szCs w:val="24"/>
        </w:rPr>
        <w:t xml:space="preserve">The business sector engagement </w:t>
      </w:r>
      <w:r w:rsidR="008535DA">
        <w:rPr>
          <w:rFonts w:ascii="Arial" w:hAnsi="Arial" w:cs="Arial"/>
          <w:sz w:val="24"/>
          <w:szCs w:val="24"/>
        </w:rPr>
        <w:t xml:space="preserve">takes </w:t>
      </w:r>
      <w:r w:rsidRPr="005F53CF">
        <w:rPr>
          <w:rFonts w:ascii="Arial" w:hAnsi="Arial" w:cs="Arial"/>
          <w:sz w:val="24"/>
          <w:szCs w:val="24"/>
        </w:rPr>
        <w:t>place through several channel</w:t>
      </w:r>
      <w:r w:rsidR="008535DA">
        <w:rPr>
          <w:rFonts w:ascii="Arial" w:hAnsi="Arial" w:cs="Arial"/>
          <w:sz w:val="24"/>
          <w:szCs w:val="24"/>
        </w:rPr>
        <w:t>s</w:t>
      </w:r>
      <w:r w:rsidRPr="005F53CF">
        <w:rPr>
          <w:rFonts w:ascii="Arial" w:hAnsi="Arial" w:cs="Arial"/>
          <w:sz w:val="24"/>
          <w:szCs w:val="24"/>
        </w:rPr>
        <w:t>:</w:t>
      </w:r>
    </w:p>
    <w:p w14:paraId="06243015" w14:textId="0D8DB8B5" w:rsidR="007D6B63" w:rsidRPr="005F53CF" w:rsidRDefault="007D6B63" w:rsidP="007D6B63">
      <w:pPr>
        <w:pStyle w:val="Heading7"/>
        <w:rPr>
          <w:rFonts w:ascii="Arial" w:hAnsi="Arial" w:cs="Arial"/>
          <w:sz w:val="24"/>
          <w:szCs w:val="24"/>
        </w:rPr>
      </w:pPr>
      <w:r w:rsidRPr="005F53CF">
        <w:rPr>
          <w:rFonts w:ascii="Arial" w:hAnsi="Arial" w:cs="Arial"/>
          <w:sz w:val="24"/>
          <w:szCs w:val="24"/>
        </w:rPr>
        <w:t xml:space="preserve">Our </w:t>
      </w:r>
      <w:r w:rsidRPr="005F53CF">
        <w:rPr>
          <w:rFonts w:ascii="Arial" w:hAnsi="Arial" w:cs="Arial"/>
          <w:b/>
          <w:sz w:val="24"/>
          <w:szCs w:val="24"/>
        </w:rPr>
        <w:t>formal governance structures</w:t>
      </w:r>
      <w:r w:rsidRPr="005F53CF">
        <w:rPr>
          <w:rFonts w:ascii="Arial" w:hAnsi="Arial" w:cs="Arial"/>
          <w:sz w:val="24"/>
          <w:szCs w:val="24"/>
        </w:rPr>
        <w:t xml:space="preserve"> have a very strong business representation. We have 9 Sector Panels covering the rural economy (largely responsible for agri-food), the visitor economy, the creative &amp; cultural sector, nuclear, advanced manufacturing, construction, logistics, professional services and health &amp; social care. At least </w:t>
      </w:r>
      <w:r w:rsidR="0066589C" w:rsidRPr="008535DA">
        <w:rPr>
          <w:rFonts w:ascii="Arial" w:hAnsi="Arial" w:cs="Arial"/>
          <w:sz w:val="24"/>
          <w:szCs w:val="24"/>
        </w:rPr>
        <w:t>15</w:t>
      </w:r>
      <w:r w:rsidRPr="008535DA">
        <w:rPr>
          <w:rFonts w:ascii="Arial" w:hAnsi="Arial" w:cs="Arial"/>
          <w:sz w:val="24"/>
          <w:szCs w:val="24"/>
        </w:rPr>
        <w:t>0 businesses are members of these Sector Panels</w:t>
      </w:r>
      <w:r w:rsidR="008535DA">
        <w:rPr>
          <w:rFonts w:ascii="Arial" w:hAnsi="Arial" w:cs="Arial"/>
          <w:sz w:val="24"/>
          <w:szCs w:val="24"/>
        </w:rPr>
        <w:t>,</w:t>
      </w:r>
      <w:r w:rsidRPr="008535DA">
        <w:rPr>
          <w:rFonts w:ascii="Arial" w:hAnsi="Arial" w:cs="Arial"/>
          <w:sz w:val="24"/>
          <w:szCs w:val="24"/>
        </w:rPr>
        <w:t xml:space="preserve"> which meet every </w:t>
      </w:r>
      <w:r w:rsidR="008535DA">
        <w:rPr>
          <w:rFonts w:ascii="Arial" w:hAnsi="Arial" w:cs="Arial"/>
          <w:sz w:val="24"/>
          <w:szCs w:val="24"/>
        </w:rPr>
        <w:t>2</w:t>
      </w:r>
      <w:r w:rsidR="002E3195" w:rsidRPr="008535DA">
        <w:rPr>
          <w:rFonts w:ascii="Arial" w:hAnsi="Arial" w:cs="Arial"/>
          <w:sz w:val="24"/>
          <w:szCs w:val="24"/>
        </w:rPr>
        <w:t xml:space="preserve"> to </w:t>
      </w:r>
      <w:r w:rsidR="008535DA">
        <w:rPr>
          <w:rFonts w:ascii="Arial" w:hAnsi="Arial" w:cs="Arial"/>
          <w:sz w:val="24"/>
          <w:szCs w:val="24"/>
        </w:rPr>
        <w:t>3</w:t>
      </w:r>
      <w:r w:rsidR="0066589C" w:rsidRPr="005F53CF">
        <w:rPr>
          <w:rFonts w:ascii="Arial" w:hAnsi="Arial" w:cs="Arial"/>
          <w:sz w:val="24"/>
          <w:szCs w:val="24"/>
        </w:rPr>
        <w:t xml:space="preserve"> months. </w:t>
      </w:r>
      <w:r w:rsidR="005B3DB0" w:rsidRPr="005F53CF">
        <w:rPr>
          <w:rFonts w:ascii="Arial" w:hAnsi="Arial" w:cs="Arial"/>
          <w:sz w:val="24"/>
          <w:szCs w:val="24"/>
        </w:rPr>
        <w:t>Businesses</w:t>
      </w:r>
      <w:r w:rsidR="0066589C" w:rsidRPr="005F53CF">
        <w:rPr>
          <w:rFonts w:ascii="Arial" w:hAnsi="Arial" w:cs="Arial"/>
          <w:sz w:val="24"/>
          <w:szCs w:val="24"/>
        </w:rPr>
        <w:t xml:space="preserve"> are also represented on </w:t>
      </w:r>
      <w:r w:rsidR="005B3DB0" w:rsidRPr="005F53CF">
        <w:rPr>
          <w:rFonts w:ascii="Arial" w:hAnsi="Arial" w:cs="Arial"/>
          <w:sz w:val="24"/>
          <w:szCs w:val="24"/>
        </w:rPr>
        <w:t xml:space="preserve">the LEP other key governance sub-committees (five </w:t>
      </w:r>
      <w:r w:rsidR="00663A0E" w:rsidRPr="005F53CF">
        <w:rPr>
          <w:rFonts w:ascii="Arial" w:hAnsi="Arial" w:cs="Arial"/>
          <w:sz w:val="24"/>
          <w:szCs w:val="24"/>
        </w:rPr>
        <w:t xml:space="preserve">Strategy Groups </w:t>
      </w:r>
      <w:r w:rsidR="005B3DB0" w:rsidRPr="005F53CF">
        <w:rPr>
          <w:rFonts w:ascii="Arial" w:hAnsi="Arial" w:cs="Arial"/>
          <w:sz w:val="24"/>
          <w:szCs w:val="24"/>
        </w:rPr>
        <w:t xml:space="preserve">covering the five foundations of productivity). </w:t>
      </w:r>
    </w:p>
    <w:p w14:paraId="13AC7591" w14:textId="10F3A457" w:rsidR="005B3DB0" w:rsidRPr="005F53CF" w:rsidRDefault="005B3DB0" w:rsidP="007D6B63">
      <w:pPr>
        <w:pStyle w:val="Heading7"/>
        <w:rPr>
          <w:rFonts w:ascii="Arial" w:hAnsi="Arial" w:cs="Arial"/>
          <w:sz w:val="24"/>
          <w:szCs w:val="24"/>
        </w:rPr>
      </w:pPr>
      <w:r w:rsidRPr="005F53CF">
        <w:rPr>
          <w:rFonts w:ascii="Arial" w:hAnsi="Arial" w:cs="Arial"/>
          <w:sz w:val="24"/>
          <w:szCs w:val="24"/>
        </w:rPr>
        <w:t>The LEP hold</w:t>
      </w:r>
      <w:r w:rsidR="008535DA">
        <w:rPr>
          <w:rFonts w:ascii="Arial" w:hAnsi="Arial" w:cs="Arial"/>
          <w:sz w:val="24"/>
          <w:szCs w:val="24"/>
        </w:rPr>
        <w:t>s</w:t>
      </w:r>
      <w:r w:rsidRPr="005F53CF">
        <w:rPr>
          <w:rFonts w:ascii="Arial" w:hAnsi="Arial" w:cs="Arial"/>
          <w:sz w:val="24"/>
          <w:szCs w:val="24"/>
        </w:rPr>
        <w:t xml:space="preserve"> an </w:t>
      </w:r>
      <w:r w:rsidRPr="005F53CF">
        <w:rPr>
          <w:rFonts w:ascii="Arial" w:hAnsi="Arial" w:cs="Arial"/>
          <w:b/>
          <w:sz w:val="24"/>
          <w:szCs w:val="24"/>
        </w:rPr>
        <w:t>Annual General Meeting</w:t>
      </w:r>
      <w:r w:rsidRPr="005F53CF">
        <w:rPr>
          <w:rFonts w:ascii="Arial" w:hAnsi="Arial" w:cs="Arial"/>
          <w:sz w:val="24"/>
          <w:szCs w:val="24"/>
        </w:rPr>
        <w:t xml:space="preserve"> in September. The 2018 AGM was attended by over 70 organisations including many businesses. </w:t>
      </w:r>
    </w:p>
    <w:p w14:paraId="7FCA4401" w14:textId="51477F42" w:rsidR="007D6B63" w:rsidRPr="005F53CF" w:rsidRDefault="005B3DB0" w:rsidP="007D6B63">
      <w:pPr>
        <w:pStyle w:val="Heading5"/>
        <w:rPr>
          <w:rFonts w:ascii="Arial" w:hAnsi="Arial" w:cs="Arial"/>
          <w:sz w:val="24"/>
          <w:szCs w:val="24"/>
        </w:rPr>
      </w:pPr>
      <w:r w:rsidRPr="005F53CF">
        <w:rPr>
          <w:rFonts w:ascii="Arial" w:hAnsi="Arial" w:cs="Arial"/>
          <w:sz w:val="24"/>
          <w:szCs w:val="24"/>
        </w:rPr>
        <w:t>In addition, LEP staff attend, present and answer questions at a wide range of business dinners, business networking events and business clubs</w:t>
      </w:r>
      <w:r w:rsidR="00663A0E" w:rsidRPr="005F53CF">
        <w:rPr>
          <w:rFonts w:ascii="Arial" w:hAnsi="Arial" w:cs="Arial"/>
          <w:sz w:val="24"/>
          <w:szCs w:val="24"/>
        </w:rPr>
        <w:t xml:space="preserve"> on an ad hoc basis</w:t>
      </w:r>
      <w:r w:rsidRPr="005F53CF">
        <w:rPr>
          <w:rFonts w:ascii="Arial" w:hAnsi="Arial" w:cs="Arial"/>
          <w:sz w:val="24"/>
          <w:szCs w:val="24"/>
        </w:rPr>
        <w:t xml:space="preserve">. During 2019/20 CLEP intends to set up a new Cumbria Business </w:t>
      </w:r>
      <w:r w:rsidR="008535DA">
        <w:rPr>
          <w:rFonts w:ascii="Arial" w:hAnsi="Arial" w:cs="Arial"/>
          <w:sz w:val="24"/>
          <w:szCs w:val="24"/>
        </w:rPr>
        <w:t>L</w:t>
      </w:r>
      <w:r w:rsidRPr="005F53CF">
        <w:rPr>
          <w:rFonts w:ascii="Arial" w:hAnsi="Arial" w:cs="Arial"/>
          <w:sz w:val="24"/>
          <w:szCs w:val="24"/>
        </w:rPr>
        <w:t>eadership Team (modelled on bur complementary to the North West BLT) for our largest businesses.</w:t>
      </w:r>
    </w:p>
    <w:p w14:paraId="2025D33B" w14:textId="1ED5AAFB" w:rsidR="00240D6A" w:rsidRPr="008535DA" w:rsidRDefault="00240D6A" w:rsidP="0078326A">
      <w:pPr>
        <w:pStyle w:val="Heading4"/>
        <w:ind w:left="0"/>
        <w:rPr>
          <w:rFonts w:ascii="Arial" w:hAnsi="Arial" w:cs="Arial"/>
          <w:b/>
          <w:i w:val="0"/>
          <w:szCs w:val="24"/>
        </w:rPr>
      </w:pPr>
      <w:r w:rsidRPr="008535DA">
        <w:rPr>
          <w:rFonts w:ascii="Arial" w:hAnsi="Arial" w:cs="Arial"/>
          <w:b/>
          <w:i w:val="0"/>
          <w:szCs w:val="24"/>
        </w:rPr>
        <w:t>Engaging with wider public</w:t>
      </w:r>
      <w:r w:rsidR="00EA2705" w:rsidRPr="008535DA">
        <w:rPr>
          <w:rFonts w:ascii="Arial" w:hAnsi="Arial" w:cs="Arial"/>
          <w:b/>
          <w:i w:val="0"/>
          <w:szCs w:val="24"/>
        </w:rPr>
        <w:t>,</w:t>
      </w:r>
      <w:r w:rsidRPr="008535DA">
        <w:rPr>
          <w:rFonts w:ascii="Arial" w:hAnsi="Arial" w:cs="Arial"/>
          <w:b/>
          <w:i w:val="0"/>
          <w:szCs w:val="24"/>
        </w:rPr>
        <w:t xml:space="preserve"> voluntary and community-based bodies</w:t>
      </w:r>
    </w:p>
    <w:p w14:paraId="4409421B" w14:textId="2A2E980E" w:rsidR="00240D6A" w:rsidRPr="005F53CF" w:rsidRDefault="00663A0E" w:rsidP="00D47CCA">
      <w:pPr>
        <w:pStyle w:val="Heading5"/>
        <w:rPr>
          <w:rFonts w:ascii="Arial" w:hAnsi="Arial" w:cs="Arial"/>
          <w:sz w:val="24"/>
          <w:szCs w:val="24"/>
        </w:rPr>
      </w:pPr>
      <w:r w:rsidRPr="005F53CF">
        <w:rPr>
          <w:rFonts w:ascii="Arial" w:hAnsi="Arial" w:cs="Arial"/>
          <w:sz w:val="24"/>
          <w:szCs w:val="24"/>
        </w:rPr>
        <w:t>T</w:t>
      </w:r>
      <w:r w:rsidR="00240D6A" w:rsidRPr="005F53CF">
        <w:rPr>
          <w:rFonts w:ascii="Arial" w:hAnsi="Arial" w:cs="Arial"/>
          <w:sz w:val="24"/>
          <w:szCs w:val="24"/>
        </w:rPr>
        <w:t>he wider public, voluntary and community-based bodies</w:t>
      </w:r>
      <w:r w:rsidRPr="005F53CF">
        <w:rPr>
          <w:rFonts w:ascii="Arial" w:hAnsi="Arial" w:cs="Arial"/>
          <w:sz w:val="24"/>
          <w:szCs w:val="24"/>
        </w:rPr>
        <w:t xml:space="preserve"> also are represented in our governance structure and sit on different sector panels and Strategy Groups. In addition the LEP engages with the public sector via:</w:t>
      </w:r>
    </w:p>
    <w:p w14:paraId="588C26F4" w14:textId="66693D75" w:rsidR="00663A0E" w:rsidRPr="005F53CF" w:rsidRDefault="00663A0E" w:rsidP="00663A0E">
      <w:pPr>
        <w:pStyle w:val="Heading7"/>
        <w:rPr>
          <w:rFonts w:ascii="Arial" w:hAnsi="Arial" w:cs="Arial"/>
          <w:sz w:val="24"/>
          <w:szCs w:val="24"/>
        </w:rPr>
      </w:pPr>
      <w:r w:rsidRPr="005F53CF">
        <w:rPr>
          <w:rFonts w:ascii="Arial" w:hAnsi="Arial" w:cs="Arial"/>
          <w:sz w:val="24"/>
          <w:szCs w:val="24"/>
        </w:rPr>
        <w:t>The Cumbria Chief Executives Group</w:t>
      </w:r>
    </w:p>
    <w:p w14:paraId="2AB03AEB" w14:textId="19E4C488" w:rsidR="00663A0E" w:rsidRPr="005F53CF" w:rsidRDefault="00663A0E" w:rsidP="00663A0E">
      <w:pPr>
        <w:pStyle w:val="Heading7"/>
        <w:rPr>
          <w:rFonts w:ascii="Arial" w:hAnsi="Arial" w:cs="Arial"/>
          <w:sz w:val="24"/>
          <w:szCs w:val="24"/>
        </w:rPr>
      </w:pPr>
      <w:r w:rsidRPr="005F53CF">
        <w:rPr>
          <w:rFonts w:ascii="Arial" w:hAnsi="Arial" w:cs="Arial"/>
          <w:sz w:val="24"/>
          <w:szCs w:val="24"/>
        </w:rPr>
        <w:t>The Technical Officers Groups (of local economic development leads for our 7 local authorities, the Lake District National Park and other bodies such as Natural England)</w:t>
      </w:r>
    </w:p>
    <w:p w14:paraId="78544D3A" w14:textId="47512D20" w:rsidR="00663A0E" w:rsidRPr="005F53CF" w:rsidRDefault="00663A0E" w:rsidP="00663A0E">
      <w:pPr>
        <w:pStyle w:val="Heading7"/>
        <w:rPr>
          <w:rFonts w:ascii="Arial" w:hAnsi="Arial" w:cs="Arial"/>
          <w:sz w:val="24"/>
          <w:szCs w:val="24"/>
        </w:rPr>
      </w:pPr>
      <w:r w:rsidRPr="005F53CF">
        <w:rPr>
          <w:rFonts w:ascii="Arial" w:hAnsi="Arial" w:cs="Arial"/>
          <w:sz w:val="24"/>
          <w:szCs w:val="24"/>
        </w:rPr>
        <w:t>Moorside Strateg</w:t>
      </w:r>
      <w:r w:rsidR="008535DA">
        <w:rPr>
          <w:rFonts w:ascii="Arial" w:hAnsi="Arial" w:cs="Arial"/>
          <w:sz w:val="24"/>
          <w:szCs w:val="24"/>
        </w:rPr>
        <w:t>ic</w:t>
      </w:r>
      <w:r w:rsidRPr="005F53CF">
        <w:rPr>
          <w:rFonts w:ascii="Arial" w:hAnsi="Arial" w:cs="Arial"/>
          <w:sz w:val="24"/>
          <w:szCs w:val="24"/>
        </w:rPr>
        <w:t xml:space="preserve"> Partnership</w:t>
      </w:r>
    </w:p>
    <w:p w14:paraId="26D29B72" w14:textId="75BE67B2" w:rsidR="00663A0E" w:rsidRPr="005F53CF" w:rsidRDefault="00663A0E" w:rsidP="00663A0E">
      <w:pPr>
        <w:pStyle w:val="Heading5"/>
        <w:rPr>
          <w:rFonts w:ascii="Arial" w:hAnsi="Arial" w:cs="Arial"/>
          <w:sz w:val="24"/>
          <w:szCs w:val="24"/>
        </w:rPr>
      </w:pPr>
      <w:r w:rsidRPr="005F53CF">
        <w:rPr>
          <w:rFonts w:ascii="Arial" w:hAnsi="Arial" w:cs="Arial"/>
          <w:sz w:val="24"/>
          <w:szCs w:val="24"/>
        </w:rPr>
        <w:t>As with the business sector, LEP staff attend, present and answer questions at a wide range of networking events and conferences on an ad hoc basis. These include the Cumbria CVS</w:t>
      </w:r>
      <w:r w:rsidR="002E3195" w:rsidRPr="005F53CF">
        <w:rPr>
          <w:rFonts w:ascii="Arial" w:hAnsi="Arial" w:cs="Arial"/>
          <w:sz w:val="24"/>
          <w:szCs w:val="24"/>
        </w:rPr>
        <w:t>.</w:t>
      </w:r>
      <w:r w:rsidR="008535DA">
        <w:rPr>
          <w:rFonts w:ascii="Arial" w:hAnsi="Arial" w:cs="Arial"/>
          <w:sz w:val="24"/>
          <w:szCs w:val="24"/>
        </w:rPr>
        <w:t xml:space="preserve"> There is also a VCSE nomination on the CLEP Board and throughout the wider governance structure. </w:t>
      </w:r>
    </w:p>
    <w:p w14:paraId="6E83A570" w14:textId="2DDD2E62" w:rsidR="00240D6A" w:rsidRPr="008535DA" w:rsidRDefault="00240D6A" w:rsidP="0078326A">
      <w:pPr>
        <w:pStyle w:val="Heading2"/>
        <w:ind w:left="0"/>
        <w:rPr>
          <w:rFonts w:ascii="Arial" w:hAnsi="Arial" w:cs="Arial"/>
          <w:i w:val="0"/>
          <w:sz w:val="24"/>
          <w:szCs w:val="24"/>
        </w:rPr>
      </w:pPr>
      <w:r w:rsidRPr="008535DA">
        <w:rPr>
          <w:rFonts w:ascii="Arial" w:hAnsi="Arial" w:cs="Arial"/>
          <w:i w:val="0"/>
          <w:sz w:val="24"/>
          <w:szCs w:val="24"/>
        </w:rPr>
        <w:t>Other soft power/convenor roles</w:t>
      </w:r>
    </w:p>
    <w:p w14:paraId="6F7236EF" w14:textId="77777777" w:rsidR="002E3195" w:rsidRPr="005F53CF" w:rsidRDefault="006650AB" w:rsidP="00D47CCA">
      <w:pPr>
        <w:pStyle w:val="Heading5"/>
        <w:rPr>
          <w:rFonts w:ascii="Arial" w:hAnsi="Arial" w:cs="Arial"/>
          <w:sz w:val="24"/>
          <w:szCs w:val="24"/>
        </w:rPr>
      </w:pPr>
      <w:r w:rsidRPr="005F53CF">
        <w:rPr>
          <w:rFonts w:ascii="Arial" w:hAnsi="Arial" w:cs="Arial"/>
          <w:sz w:val="24"/>
          <w:szCs w:val="24"/>
        </w:rPr>
        <w:t>The LEP regards the LIS as its main vehicle for influencing partners in Cumbria. The LIS is already starting to have considerable traction around its key themes</w:t>
      </w:r>
      <w:r w:rsidR="00523C6B" w:rsidRPr="005F53CF">
        <w:rPr>
          <w:rFonts w:ascii="Arial" w:hAnsi="Arial" w:cs="Arial"/>
          <w:sz w:val="24"/>
          <w:szCs w:val="24"/>
        </w:rPr>
        <w:t xml:space="preserve"> (for instance the identif</w:t>
      </w:r>
      <w:r w:rsidR="00B05345" w:rsidRPr="005F53CF">
        <w:rPr>
          <w:rFonts w:ascii="Arial" w:hAnsi="Arial" w:cs="Arial"/>
          <w:sz w:val="24"/>
          <w:szCs w:val="24"/>
        </w:rPr>
        <w:t>ic</w:t>
      </w:r>
      <w:r w:rsidR="00523C6B" w:rsidRPr="005F53CF">
        <w:rPr>
          <w:rFonts w:ascii="Arial" w:hAnsi="Arial" w:cs="Arial"/>
          <w:sz w:val="24"/>
          <w:szCs w:val="24"/>
        </w:rPr>
        <w:t xml:space="preserve">ation and </w:t>
      </w:r>
      <w:r w:rsidR="00B05345" w:rsidRPr="005F53CF">
        <w:rPr>
          <w:rFonts w:ascii="Arial" w:hAnsi="Arial" w:cs="Arial"/>
          <w:sz w:val="24"/>
          <w:szCs w:val="24"/>
        </w:rPr>
        <w:t>highlighting</w:t>
      </w:r>
      <w:r w:rsidR="00523C6B" w:rsidRPr="005F53CF">
        <w:rPr>
          <w:rFonts w:ascii="Arial" w:hAnsi="Arial" w:cs="Arial"/>
          <w:sz w:val="24"/>
          <w:szCs w:val="24"/>
        </w:rPr>
        <w:t xml:space="preserve"> of the looming </w:t>
      </w:r>
      <w:r w:rsidR="00B05345" w:rsidRPr="005F53CF">
        <w:rPr>
          <w:rFonts w:ascii="Arial" w:hAnsi="Arial" w:cs="Arial"/>
          <w:sz w:val="24"/>
          <w:szCs w:val="24"/>
        </w:rPr>
        <w:t>workforce</w:t>
      </w:r>
      <w:r w:rsidR="00523C6B" w:rsidRPr="005F53CF">
        <w:rPr>
          <w:rFonts w:ascii="Arial" w:hAnsi="Arial" w:cs="Arial"/>
          <w:sz w:val="24"/>
          <w:szCs w:val="24"/>
        </w:rPr>
        <w:t xml:space="preserve"> deficit is </w:t>
      </w:r>
      <w:r w:rsidR="002E3195" w:rsidRPr="005F53CF">
        <w:rPr>
          <w:rFonts w:ascii="Arial" w:hAnsi="Arial" w:cs="Arial"/>
          <w:sz w:val="24"/>
          <w:szCs w:val="24"/>
        </w:rPr>
        <w:t>influencing</w:t>
      </w:r>
      <w:r w:rsidR="00523C6B" w:rsidRPr="005F53CF">
        <w:rPr>
          <w:rFonts w:ascii="Arial" w:hAnsi="Arial" w:cs="Arial"/>
          <w:sz w:val="24"/>
          <w:szCs w:val="24"/>
        </w:rPr>
        <w:t xml:space="preserve"> the updating of </w:t>
      </w:r>
      <w:r w:rsidR="002E3195" w:rsidRPr="005F53CF">
        <w:rPr>
          <w:rFonts w:ascii="Arial" w:hAnsi="Arial" w:cs="Arial"/>
          <w:sz w:val="24"/>
          <w:szCs w:val="24"/>
        </w:rPr>
        <w:t xml:space="preserve">the </w:t>
      </w:r>
      <w:r w:rsidR="00523C6B" w:rsidRPr="005F53CF">
        <w:rPr>
          <w:rFonts w:ascii="Arial" w:hAnsi="Arial" w:cs="Arial"/>
          <w:sz w:val="24"/>
          <w:szCs w:val="24"/>
        </w:rPr>
        <w:t xml:space="preserve">Local Plan in </w:t>
      </w:r>
      <w:r w:rsidR="002E3195" w:rsidRPr="005F53CF">
        <w:rPr>
          <w:rFonts w:ascii="Arial" w:hAnsi="Arial" w:cs="Arial"/>
          <w:sz w:val="24"/>
          <w:szCs w:val="24"/>
        </w:rPr>
        <w:t>Eden</w:t>
      </w:r>
      <w:r w:rsidR="00523C6B" w:rsidRPr="005F53CF">
        <w:rPr>
          <w:rFonts w:ascii="Arial" w:hAnsi="Arial" w:cs="Arial"/>
          <w:sz w:val="24"/>
          <w:szCs w:val="24"/>
        </w:rPr>
        <w:t>)</w:t>
      </w:r>
      <w:r w:rsidRPr="005F53CF">
        <w:rPr>
          <w:rFonts w:ascii="Arial" w:hAnsi="Arial" w:cs="Arial"/>
          <w:sz w:val="24"/>
          <w:szCs w:val="24"/>
        </w:rPr>
        <w:t xml:space="preserve">. </w:t>
      </w:r>
    </w:p>
    <w:p w14:paraId="194940F1" w14:textId="434FAAE1" w:rsidR="00240D6A" w:rsidRPr="005F53CF" w:rsidRDefault="006650AB" w:rsidP="00D47CCA">
      <w:pPr>
        <w:pStyle w:val="Heading5"/>
        <w:rPr>
          <w:rFonts w:ascii="Arial" w:hAnsi="Arial" w:cs="Arial"/>
          <w:sz w:val="24"/>
          <w:szCs w:val="24"/>
        </w:rPr>
      </w:pPr>
      <w:r w:rsidRPr="005F53CF">
        <w:rPr>
          <w:rFonts w:ascii="Arial" w:hAnsi="Arial" w:cs="Arial"/>
          <w:sz w:val="24"/>
          <w:szCs w:val="24"/>
        </w:rPr>
        <w:t>The work in preparing the LIS and its evidence base during 2018/19 has led to CLEP working with partners in Cumbria</w:t>
      </w:r>
      <w:r w:rsidR="00523C6B" w:rsidRPr="005F53CF">
        <w:rPr>
          <w:rFonts w:ascii="Arial" w:hAnsi="Arial" w:cs="Arial"/>
          <w:sz w:val="24"/>
          <w:szCs w:val="24"/>
        </w:rPr>
        <w:t xml:space="preserve"> </w:t>
      </w:r>
      <w:r w:rsidR="00822ABF">
        <w:rPr>
          <w:rFonts w:ascii="Arial" w:hAnsi="Arial" w:cs="Arial"/>
          <w:sz w:val="24"/>
          <w:szCs w:val="24"/>
        </w:rPr>
        <w:t>on a range of activities including:</w:t>
      </w:r>
    </w:p>
    <w:p w14:paraId="62D50CFD" w14:textId="625B4DE2" w:rsidR="00523C6B" w:rsidRPr="005F53CF" w:rsidRDefault="00523C6B" w:rsidP="00523C6B">
      <w:pPr>
        <w:pStyle w:val="Heading7"/>
        <w:rPr>
          <w:rFonts w:ascii="Arial" w:hAnsi="Arial" w:cs="Arial"/>
          <w:sz w:val="24"/>
          <w:szCs w:val="24"/>
        </w:rPr>
      </w:pPr>
      <w:r w:rsidRPr="005F53CF">
        <w:rPr>
          <w:rFonts w:ascii="Arial" w:hAnsi="Arial" w:cs="Arial"/>
          <w:sz w:val="24"/>
          <w:szCs w:val="24"/>
        </w:rPr>
        <w:t>Develop</w:t>
      </w:r>
      <w:r w:rsidR="00822ABF">
        <w:rPr>
          <w:rFonts w:ascii="Arial" w:hAnsi="Arial" w:cs="Arial"/>
          <w:sz w:val="24"/>
          <w:szCs w:val="24"/>
        </w:rPr>
        <w:t>ing a</w:t>
      </w:r>
      <w:r w:rsidRPr="005F53CF">
        <w:rPr>
          <w:rFonts w:ascii="Arial" w:hAnsi="Arial" w:cs="Arial"/>
          <w:sz w:val="24"/>
          <w:szCs w:val="24"/>
        </w:rPr>
        <w:t xml:space="preserve"> new place marketing and promotion propositions for Cumbria</w:t>
      </w:r>
    </w:p>
    <w:p w14:paraId="03BD59AE" w14:textId="7395AE14" w:rsidR="00523C6B" w:rsidRPr="005F53CF" w:rsidRDefault="00822ABF" w:rsidP="00523C6B">
      <w:pPr>
        <w:pStyle w:val="Heading7"/>
        <w:rPr>
          <w:rFonts w:ascii="Arial" w:hAnsi="Arial" w:cs="Arial"/>
          <w:sz w:val="24"/>
          <w:szCs w:val="24"/>
        </w:rPr>
      </w:pPr>
      <w:r>
        <w:rPr>
          <w:rFonts w:ascii="Arial" w:hAnsi="Arial" w:cs="Arial"/>
          <w:sz w:val="24"/>
          <w:szCs w:val="24"/>
        </w:rPr>
        <w:t xml:space="preserve">Completing a </w:t>
      </w:r>
      <w:r w:rsidR="008535DA">
        <w:rPr>
          <w:rFonts w:ascii="Arial" w:hAnsi="Arial" w:cs="Arial"/>
          <w:sz w:val="24"/>
          <w:szCs w:val="24"/>
        </w:rPr>
        <w:t xml:space="preserve">formal </w:t>
      </w:r>
      <w:r w:rsidR="00523C6B" w:rsidRPr="005F53CF">
        <w:rPr>
          <w:rFonts w:ascii="Arial" w:hAnsi="Arial" w:cs="Arial"/>
          <w:sz w:val="24"/>
          <w:szCs w:val="24"/>
        </w:rPr>
        <w:t>mapping of sites and premises needs across Cumbria</w:t>
      </w:r>
    </w:p>
    <w:p w14:paraId="7B3821B5" w14:textId="5741CA53" w:rsidR="00523C6B" w:rsidRDefault="00523C6B" w:rsidP="00523C6B">
      <w:pPr>
        <w:pStyle w:val="Heading7"/>
        <w:rPr>
          <w:rFonts w:ascii="Arial" w:hAnsi="Arial" w:cs="Arial"/>
          <w:sz w:val="24"/>
          <w:szCs w:val="24"/>
        </w:rPr>
      </w:pPr>
      <w:r w:rsidRPr="005F53CF">
        <w:rPr>
          <w:rFonts w:ascii="Arial" w:hAnsi="Arial" w:cs="Arial"/>
          <w:sz w:val="24"/>
          <w:szCs w:val="24"/>
        </w:rPr>
        <w:t>Encourag</w:t>
      </w:r>
      <w:r w:rsidR="00822ABF">
        <w:rPr>
          <w:rFonts w:ascii="Arial" w:hAnsi="Arial" w:cs="Arial"/>
          <w:sz w:val="24"/>
          <w:szCs w:val="24"/>
        </w:rPr>
        <w:t>ing</w:t>
      </w:r>
      <w:r w:rsidRPr="005F53CF">
        <w:rPr>
          <w:rFonts w:ascii="Arial" w:hAnsi="Arial" w:cs="Arial"/>
          <w:sz w:val="24"/>
          <w:szCs w:val="24"/>
        </w:rPr>
        <w:t xml:space="preserve"> businesses to identify practical activity they can take supporting their CSR agendas tha</w:t>
      </w:r>
      <w:r w:rsidR="00822ABF">
        <w:rPr>
          <w:rFonts w:ascii="Arial" w:hAnsi="Arial" w:cs="Arial"/>
          <w:sz w:val="24"/>
          <w:szCs w:val="24"/>
        </w:rPr>
        <w:t>t help deliver inclusive growth</w:t>
      </w:r>
    </w:p>
    <w:p w14:paraId="618760F7" w14:textId="11FBB6DC" w:rsidR="00822ABF" w:rsidRDefault="00822ABF" w:rsidP="00523C6B">
      <w:pPr>
        <w:pStyle w:val="Heading7"/>
        <w:rPr>
          <w:rFonts w:ascii="Arial" w:hAnsi="Arial" w:cs="Arial"/>
          <w:sz w:val="24"/>
          <w:szCs w:val="24"/>
        </w:rPr>
      </w:pPr>
      <w:proofErr w:type="gramStart"/>
      <w:r>
        <w:rPr>
          <w:rFonts w:ascii="Arial" w:hAnsi="Arial" w:cs="Arial"/>
          <w:sz w:val="24"/>
          <w:szCs w:val="24"/>
        </w:rPr>
        <w:t>Commissioning a new Creative and Cultural Strategy.</w:t>
      </w:r>
      <w:proofErr w:type="gramEnd"/>
    </w:p>
    <w:p w14:paraId="219FBC13" w14:textId="00A2CE32" w:rsidR="00822ABF" w:rsidRDefault="00822ABF" w:rsidP="00523C6B">
      <w:pPr>
        <w:pStyle w:val="Heading7"/>
        <w:rPr>
          <w:rFonts w:ascii="Arial" w:hAnsi="Arial" w:cs="Arial"/>
          <w:sz w:val="24"/>
          <w:szCs w:val="24"/>
        </w:rPr>
      </w:pPr>
      <w:r>
        <w:rPr>
          <w:rFonts w:ascii="Arial" w:hAnsi="Arial" w:cs="Arial"/>
          <w:sz w:val="24"/>
          <w:szCs w:val="24"/>
        </w:rPr>
        <w:t>Developing Cumbria’s contribution to the Tourism Sector Deal and developing a proposal for Tourism Action Zone status.</w:t>
      </w:r>
    </w:p>
    <w:p w14:paraId="7FE4FB9A" w14:textId="570974F6" w:rsidR="00822ABF" w:rsidRPr="005F53CF" w:rsidRDefault="00822ABF" w:rsidP="00523C6B">
      <w:pPr>
        <w:pStyle w:val="Heading7"/>
        <w:rPr>
          <w:rFonts w:ascii="Arial" w:hAnsi="Arial" w:cs="Arial"/>
          <w:sz w:val="24"/>
          <w:szCs w:val="24"/>
        </w:rPr>
      </w:pPr>
      <w:proofErr w:type="gramStart"/>
      <w:r>
        <w:rPr>
          <w:rFonts w:ascii="Arial" w:hAnsi="Arial" w:cs="Arial"/>
          <w:sz w:val="24"/>
          <w:szCs w:val="24"/>
        </w:rPr>
        <w:t>Developing a visitor economy response to the Lake District Local Plan.</w:t>
      </w:r>
      <w:proofErr w:type="gramEnd"/>
    </w:p>
    <w:p w14:paraId="788EB02B" w14:textId="77777777" w:rsidR="0012331F" w:rsidRDefault="0012331F">
      <w:pPr>
        <w:spacing w:after="200" w:line="276" w:lineRule="auto"/>
        <w:jc w:val="left"/>
        <w:rPr>
          <w:rFonts w:ascii="Arial" w:hAnsi="Arial" w:cs="Arial"/>
          <w:sz w:val="24"/>
          <w:szCs w:val="24"/>
          <w:lang w:val="fr-FR"/>
        </w:rPr>
      </w:pPr>
      <w:bookmarkStart w:id="3" w:name="bmkBackPage"/>
      <w:bookmarkEnd w:id="3"/>
    </w:p>
    <w:p w14:paraId="235F7463" w14:textId="7DADB923" w:rsidR="00AC5BE0" w:rsidRDefault="00AC5BE0">
      <w:pPr>
        <w:spacing w:after="200" w:line="276" w:lineRule="auto"/>
        <w:jc w:val="left"/>
        <w:rPr>
          <w:rFonts w:ascii="Arial" w:hAnsi="Arial" w:cs="Arial"/>
          <w:sz w:val="24"/>
          <w:szCs w:val="24"/>
          <w:lang w:val="fr-FR"/>
        </w:rPr>
      </w:pPr>
      <w:r>
        <w:rPr>
          <w:rFonts w:ascii="Arial" w:hAnsi="Arial" w:cs="Arial"/>
          <w:sz w:val="24"/>
          <w:szCs w:val="24"/>
          <w:lang w:val="fr-FR"/>
        </w:rPr>
        <w:br w:type="page"/>
      </w:r>
    </w:p>
    <w:p w14:paraId="5D8F56E4" w14:textId="77777777" w:rsidR="00AC5BE0" w:rsidRPr="00AC5BE0" w:rsidRDefault="00AC5BE0" w:rsidP="00AC5BE0">
      <w:pPr>
        <w:keepNext/>
        <w:spacing w:before="360"/>
        <w:jc w:val="left"/>
        <w:outlineLvl w:val="0"/>
        <w:rPr>
          <w:rFonts w:ascii="Century Gothic" w:hAnsi="Century Gothic" w:cs="Arial"/>
          <w:b/>
          <w:color w:val="6B004B"/>
          <w:sz w:val="44"/>
          <w:szCs w:val="44"/>
        </w:rPr>
      </w:pPr>
      <w:r w:rsidRPr="00AC5BE0">
        <w:rPr>
          <w:rFonts w:ascii="Century Gothic" w:hAnsi="Century Gothic" w:cs="Arial"/>
          <w:b/>
          <w:color w:val="6B004B"/>
          <w:sz w:val="44"/>
          <w:szCs w:val="44"/>
        </w:rPr>
        <w:t>Glossary of Terms</w:t>
      </w:r>
    </w:p>
    <w:p w14:paraId="5F054164" w14:textId="77777777" w:rsidR="00AC5BE0" w:rsidRPr="00AC5BE0" w:rsidRDefault="00AC5BE0" w:rsidP="00AC5BE0">
      <w:pPr>
        <w:numPr>
          <w:ilvl w:val="3"/>
          <w:numId w:val="25"/>
        </w:numPr>
        <w:spacing w:before="120" w:after="120" w:line="280" w:lineRule="atLeast"/>
        <w:outlineLvl w:val="4"/>
        <w:rPr>
          <w:rFonts w:ascii="Century Gothic" w:hAnsi="Century Gothic"/>
          <w:sz w:val="20"/>
          <w:szCs w:val="44"/>
        </w:rPr>
      </w:pPr>
    </w:p>
    <w:tbl>
      <w:tblPr>
        <w:tblStyle w:val="TableGrid"/>
        <w:tblW w:w="5000" w:type="pct"/>
        <w:tblLook w:val="04A0" w:firstRow="1" w:lastRow="0" w:firstColumn="1" w:lastColumn="0" w:noHBand="0" w:noVBand="1"/>
      </w:tblPr>
      <w:tblGrid>
        <w:gridCol w:w="2769"/>
        <w:gridCol w:w="6859"/>
      </w:tblGrid>
      <w:tr w:rsidR="00AC5BE0" w:rsidRPr="00AC5BE0" w14:paraId="0C3CCD7F" w14:textId="77777777" w:rsidTr="00AC5B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8" w:type="pct"/>
            <w:shd w:val="clear" w:color="auto" w:fill="660066"/>
          </w:tcPr>
          <w:p w14:paraId="67AA8DFD" w14:textId="77777777" w:rsidR="00AC5BE0" w:rsidRPr="00AC5BE0" w:rsidRDefault="00AC5BE0" w:rsidP="00AC5BE0">
            <w:pPr>
              <w:jc w:val="center"/>
              <w:rPr>
                <w:rFonts w:ascii="Arial Unicode MS" w:eastAsia="Arial Unicode MS" w:hAnsi="Arial Unicode MS" w:cs="Arial Unicode MS"/>
                <w:color w:val="auto"/>
                <w:sz w:val="28"/>
                <w:szCs w:val="28"/>
                <w:lang w:eastAsia="en-US"/>
              </w:rPr>
            </w:pPr>
            <w:r w:rsidRPr="00AC5BE0">
              <w:rPr>
                <w:rFonts w:ascii="Arial Unicode MS" w:eastAsia="Arial Unicode MS" w:hAnsi="Arial Unicode MS" w:cs="Arial Unicode MS"/>
                <w:color w:val="auto"/>
                <w:sz w:val="28"/>
                <w:szCs w:val="28"/>
                <w:lang w:eastAsia="en-US"/>
              </w:rPr>
              <w:t>Term</w:t>
            </w:r>
          </w:p>
        </w:tc>
        <w:tc>
          <w:tcPr>
            <w:tcW w:w="3562" w:type="pct"/>
            <w:shd w:val="clear" w:color="auto" w:fill="660066"/>
          </w:tcPr>
          <w:p w14:paraId="15161BFF" w14:textId="77777777" w:rsidR="00AC5BE0" w:rsidRPr="00AC5BE0" w:rsidRDefault="00AC5BE0" w:rsidP="00AC5BE0">
            <w:pPr>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auto"/>
                <w:sz w:val="28"/>
                <w:szCs w:val="28"/>
                <w:lang w:eastAsia="en-US"/>
              </w:rPr>
            </w:pPr>
            <w:r w:rsidRPr="00AC5BE0">
              <w:rPr>
                <w:rFonts w:ascii="Arial Unicode MS" w:eastAsia="Arial Unicode MS" w:hAnsi="Arial Unicode MS" w:cs="Arial Unicode MS"/>
                <w:color w:val="auto"/>
                <w:sz w:val="28"/>
                <w:szCs w:val="28"/>
                <w:lang w:eastAsia="en-US"/>
              </w:rPr>
              <w:t>Description</w:t>
            </w:r>
          </w:p>
        </w:tc>
      </w:tr>
      <w:tr w:rsidR="00AC5BE0" w:rsidRPr="00AC5BE0" w14:paraId="73F7B851"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13A43C09"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Accountable Body</w:t>
            </w:r>
          </w:p>
        </w:tc>
        <w:tc>
          <w:tcPr>
            <w:tcW w:w="3562" w:type="pct"/>
            <w:shd w:val="clear" w:color="auto" w:fill="auto"/>
          </w:tcPr>
          <w:p w14:paraId="1E9FCFE8"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The arrangement whereby Cumbria County Council has agreement to accept responsibility for the obligations set out in the terms of any funding granted to Cumbria Local Enterprise Partnership.</w:t>
            </w:r>
          </w:p>
        </w:tc>
      </w:tr>
      <w:tr w:rsidR="00AC5BE0" w:rsidRPr="00AC5BE0" w14:paraId="4248B5F6"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0166EEBF"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BEIS</w:t>
            </w:r>
          </w:p>
        </w:tc>
        <w:tc>
          <w:tcPr>
            <w:tcW w:w="3562" w:type="pct"/>
            <w:shd w:val="clear" w:color="auto" w:fill="auto"/>
          </w:tcPr>
          <w:p w14:paraId="64E1B77A"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Department for Business, Energy and Industrial Strategy – Government department.  Formed in 2016, BEIS replaced the Department for Business, Innovation and Skills (BIS) and the Department of Energy and Climate Change (DECC).</w:t>
            </w:r>
          </w:p>
        </w:tc>
      </w:tr>
      <w:tr w:rsidR="00AC5BE0" w:rsidRPr="00AC5BE0" w14:paraId="7CEC51DC"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7A798038"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Borderlands Inclusive Growth Deal</w:t>
            </w:r>
          </w:p>
        </w:tc>
        <w:tc>
          <w:tcPr>
            <w:tcW w:w="3562" w:type="pct"/>
            <w:shd w:val="clear" w:color="auto" w:fill="auto"/>
          </w:tcPr>
          <w:p w14:paraId="2238ED17"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Cross Border initiative consisting of Carlisle City Council, Cumbria County Council, Dumfries and Galloway council, Northumberland  Council and Scottish Borders Council that received a funding allocation in the March 2019 Budget Statement, creating a package of around £345m in total.</w:t>
            </w:r>
          </w:p>
        </w:tc>
      </w:tr>
      <w:tr w:rsidR="00AC5BE0" w:rsidRPr="00AC5BE0" w14:paraId="63277143"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110D6235"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Careers Hub</w:t>
            </w:r>
          </w:p>
        </w:tc>
        <w:tc>
          <w:tcPr>
            <w:tcW w:w="3562" w:type="pct"/>
            <w:shd w:val="clear" w:color="auto" w:fill="auto"/>
          </w:tcPr>
          <w:p w14:paraId="497D3357"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 xml:space="preserve">A group of between 20 and 40 secondary schools and college located in the same geographic area, working together and with partners in the business, public, education and voluntary sectors to deliver the Gatsby Benchmarks, ensuring careers outcomes are improved. </w:t>
            </w:r>
          </w:p>
        </w:tc>
      </w:tr>
      <w:tr w:rsidR="00AC5BE0" w:rsidRPr="00AC5BE0" w14:paraId="5131E247"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7B30FD50"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CSR</w:t>
            </w:r>
          </w:p>
        </w:tc>
        <w:tc>
          <w:tcPr>
            <w:tcW w:w="3562" w:type="pct"/>
            <w:shd w:val="clear" w:color="auto" w:fill="auto"/>
          </w:tcPr>
          <w:p w14:paraId="2172EE6F"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Corporate Social Responsibility</w:t>
            </w:r>
          </w:p>
        </w:tc>
      </w:tr>
      <w:tr w:rsidR="00AC5BE0" w:rsidRPr="00AC5BE0" w14:paraId="46C35B70"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01C2A25A"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Cumbria CVS</w:t>
            </w:r>
          </w:p>
        </w:tc>
        <w:tc>
          <w:tcPr>
            <w:tcW w:w="3562" w:type="pct"/>
            <w:shd w:val="clear" w:color="auto" w:fill="auto"/>
          </w:tcPr>
          <w:p w14:paraId="22DB0108"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Cumbria Council for Voluntary Service</w:t>
            </w:r>
          </w:p>
        </w:tc>
      </w:tr>
      <w:tr w:rsidR="00AC5BE0" w:rsidRPr="00AC5BE0" w14:paraId="4789AA09"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4F97A5C3"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Cumbria Growth Catalyst</w:t>
            </w:r>
          </w:p>
        </w:tc>
        <w:tc>
          <w:tcPr>
            <w:tcW w:w="3562" w:type="pct"/>
            <w:shd w:val="clear" w:color="auto" w:fill="auto"/>
          </w:tcPr>
          <w:p w14:paraId="07BF0E06"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Programme being delivered by the Cumbria Chamber of Commerce aimed at ensuring there is a single point of contact for businesses seeking support to grow in the County.</w:t>
            </w:r>
          </w:p>
        </w:tc>
      </w:tr>
      <w:tr w:rsidR="00AC5BE0" w:rsidRPr="00AC5BE0" w14:paraId="7D356AAC"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074CFB68"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Cumbria Infrastructure Fund (CIF)</w:t>
            </w:r>
          </w:p>
        </w:tc>
        <w:tc>
          <w:tcPr>
            <w:tcW w:w="3562" w:type="pct"/>
            <w:shd w:val="clear" w:color="auto" w:fill="auto"/>
          </w:tcPr>
          <w:p w14:paraId="2F5579FB"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The local implementation of the Growing Places Fund established to promote the delivery of key infrastructure needed to unlock developments that help generate jobs and homes.  £6.1 million of funding was awarded and was established to act as a revolving fund.</w:t>
            </w:r>
          </w:p>
        </w:tc>
      </w:tr>
      <w:tr w:rsidR="00AC5BE0" w:rsidRPr="00AC5BE0" w14:paraId="1A316412"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054A362F"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DIT</w:t>
            </w:r>
          </w:p>
        </w:tc>
        <w:tc>
          <w:tcPr>
            <w:tcW w:w="3562" w:type="pct"/>
            <w:shd w:val="clear" w:color="auto" w:fill="auto"/>
          </w:tcPr>
          <w:p w14:paraId="0B0D598E"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Department for International Trade – Government Department.</w:t>
            </w:r>
          </w:p>
        </w:tc>
      </w:tr>
      <w:tr w:rsidR="00AC5BE0" w:rsidRPr="00AC5BE0" w14:paraId="0D77F20E"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73D8C4F4"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DWP</w:t>
            </w:r>
          </w:p>
        </w:tc>
        <w:tc>
          <w:tcPr>
            <w:tcW w:w="3562" w:type="pct"/>
            <w:shd w:val="clear" w:color="auto" w:fill="auto"/>
          </w:tcPr>
          <w:p w14:paraId="5E08AA3E"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The Department for Work and Pension – Government Department.</w:t>
            </w:r>
          </w:p>
        </w:tc>
      </w:tr>
      <w:tr w:rsidR="00AC5BE0" w:rsidRPr="00AC5BE0" w14:paraId="02A5430D"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4D8DBB48"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EAFRD</w:t>
            </w:r>
          </w:p>
        </w:tc>
        <w:tc>
          <w:tcPr>
            <w:tcW w:w="3562" w:type="pct"/>
            <w:shd w:val="clear" w:color="auto" w:fill="auto"/>
          </w:tcPr>
          <w:p w14:paraId="51569BD6"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The European Agricultural Fund for Rural Development.</w:t>
            </w:r>
          </w:p>
        </w:tc>
      </w:tr>
      <w:tr w:rsidR="00AC5BE0" w:rsidRPr="00AC5BE0" w14:paraId="32AA466D"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190A0931"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Economic Impact Assessment</w:t>
            </w:r>
          </w:p>
        </w:tc>
        <w:tc>
          <w:tcPr>
            <w:tcW w:w="3562" w:type="pct"/>
            <w:shd w:val="clear" w:color="auto" w:fill="auto"/>
          </w:tcPr>
          <w:p w14:paraId="310F4A83"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A specific form of analysis technique which calculate the direct, indirect and induced benefits from projects in order to measure likely outputs and outcomes.</w:t>
            </w:r>
          </w:p>
        </w:tc>
      </w:tr>
      <w:tr w:rsidR="00AC5BE0" w:rsidRPr="00AC5BE0" w14:paraId="21A4D080"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495C9E56"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Enterprise Advisor Network (EAN)</w:t>
            </w:r>
          </w:p>
        </w:tc>
        <w:tc>
          <w:tcPr>
            <w:tcW w:w="3562" w:type="pct"/>
            <w:shd w:val="clear" w:color="auto" w:fill="auto"/>
          </w:tcPr>
          <w:p w14:paraId="013321D0"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Programme focused on developing a national network connecting schools and colleges with employers and careers programme providers, supporting them to work together to provide young people with effective and high-quality encounters with the world of work.</w:t>
            </w:r>
          </w:p>
        </w:tc>
      </w:tr>
      <w:tr w:rsidR="00AC5BE0" w:rsidRPr="00AC5BE0" w14:paraId="245C54C2"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4ADF9139"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Enterprise Zone (EZ)</w:t>
            </w:r>
          </w:p>
        </w:tc>
        <w:tc>
          <w:tcPr>
            <w:tcW w:w="3562" w:type="pct"/>
            <w:shd w:val="clear" w:color="auto" w:fill="auto"/>
          </w:tcPr>
          <w:p w14:paraId="7DD30B10"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Designated areas across England that provide tax breaks and Government support to enable local economic growth as part of the Government’s wider Industrial Strategy.</w:t>
            </w:r>
          </w:p>
        </w:tc>
      </w:tr>
      <w:tr w:rsidR="00AC5BE0" w:rsidRPr="00AC5BE0" w14:paraId="3E0F2C76"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052C5858"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ERDF</w:t>
            </w:r>
          </w:p>
        </w:tc>
        <w:tc>
          <w:tcPr>
            <w:tcW w:w="3562" w:type="pct"/>
            <w:shd w:val="clear" w:color="auto" w:fill="auto"/>
          </w:tcPr>
          <w:p w14:paraId="1145CE7C"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 xml:space="preserve">The European Regional Development Fund.  Aimed at strengthening economic and social cohesion in the European Union by correcting imbalances between its regions, investments are focussed on several key priorities.  </w:t>
            </w:r>
          </w:p>
        </w:tc>
      </w:tr>
      <w:tr w:rsidR="00AC5BE0" w:rsidRPr="00AC5BE0" w14:paraId="3235C9EF"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6729744B"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ESF</w:t>
            </w:r>
          </w:p>
        </w:tc>
        <w:tc>
          <w:tcPr>
            <w:tcW w:w="3562" w:type="pct"/>
            <w:shd w:val="clear" w:color="auto" w:fill="auto"/>
          </w:tcPr>
          <w:p w14:paraId="3C5F61C0"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The European Social Fund.  Aimed at supporting jobs, helping people get better jobs and ensuring fairer job opportunities for all EU citizens.</w:t>
            </w:r>
          </w:p>
        </w:tc>
      </w:tr>
      <w:tr w:rsidR="00AC5BE0" w:rsidRPr="00AC5BE0" w14:paraId="5DFCAC18"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54909EBB"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European Structural Investment Funds (ESIF)</w:t>
            </w:r>
          </w:p>
          <w:p w14:paraId="4B263BA8" w14:textId="77777777" w:rsidR="00AC5BE0" w:rsidRPr="00AC5BE0" w:rsidRDefault="00AC5BE0" w:rsidP="00AC5BE0">
            <w:pPr>
              <w:jc w:val="left"/>
              <w:rPr>
                <w:rFonts w:ascii="Arial Unicode MS" w:eastAsia="Arial Unicode MS" w:hAnsi="Arial Unicode MS" w:cs="Arial Unicode MS"/>
                <w:lang w:eastAsia="en-US"/>
              </w:rPr>
            </w:pPr>
          </w:p>
        </w:tc>
        <w:tc>
          <w:tcPr>
            <w:tcW w:w="3562" w:type="pct"/>
            <w:shd w:val="clear" w:color="auto" w:fill="auto"/>
          </w:tcPr>
          <w:p w14:paraId="14CB8010"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Term referring to 5 European structural and investment funds jointly managed by the European Commission and the EU countries.  The 5 funds are: European regional development fund, European social fund, Cohesion fund, European agricultural fund for rural development, European maritime and fisheries fund.</w:t>
            </w:r>
          </w:p>
        </w:tc>
      </w:tr>
      <w:tr w:rsidR="00AC5BE0" w:rsidRPr="00AC5BE0" w14:paraId="0FAEACF1"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4162FD18"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Gatsby Benchmarks</w:t>
            </w:r>
          </w:p>
        </w:tc>
        <w:tc>
          <w:tcPr>
            <w:tcW w:w="3562" w:type="pct"/>
            <w:shd w:val="clear" w:color="auto" w:fill="auto"/>
          </w:tcPr>
          <w:p w14:paraId="0D945C89"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A framework of 8 guidelines that define the best careers provision in schools and colleges.</w:t>
            </w:r>
          </w:p>
        </w:tc>
      </w:tr>
      <w:tr w:rsidR="00AC5BE0" w:rsidRPr="00AC5BE0" w14:paraId="5ED4873D"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3B2D63BB"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Growing Places Fund</w:t>
            </w:r>
          </w:p>
        </w:tc>
        <w:tc>
          <w:tcPr>
            <w:tcW w:w="3562" w:type="pct"/>
            <w:shd w:val="clear" w:color="auto" w:fill="auto"/>
          </w:tcPr>
          <w:p w14:paraId="5757D007"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A national fund to support key infrastructure projects designed to unlock wider economic growth, create jobs and build houses in England, which is distributed in Cumbria as the Cumbria Infrastructure Fund.</w:t>
            </w:r>
          </w:p>
        </w:tc>
      </w:tr>
      <w:tr w:rsidR="00AC5BE0" w:rsidRPr="00AC5BE0" w14:paraId="3DA89923"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1A55222D"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Growth Deal</w:t>
            </w:r>
          </w:p>
        </w:tc>
        <w:tc>
          <w:tcPr>
            <w:tcW w:w="3562" w:type="pct"/>
            <w:shd w:val="clear" w:color="auto" w:fill="auto"/>
          </w:tcPr>
          <w:p w14:paraId="4F0CEB38"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Provision of funds to local enterprise partnerships for projects that benefit the local area and economy.</w:t>
            </w:r>
          </w:p>
        </w:tc>
      </w:tr>
      <w:tr w:rsidR="00AC5BE0" w:rsidRPr="00AC5BE0" w14:paraId="54E91A91"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0807ACBC"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LEP Network</w:t>
            </w:r>
          </w:p>
        </w:tc>
        <w:tc>
          <w:tcPr>
            <w:tcW w:w="3562" w:type="pct"/>
            <w:shd w:val="clear" w:color="auto" w:fill="auto"/>
          </w:tcPr>
          <w:p w14:paraId="297A53AF"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A not-for-profit company limited by guarantee, governed by three volunteer LEP chairs, that aims to be a gateway to news and information that enables LEPs to come together on areas of shared importance, engage with government, facilitate dialogue with economic development stakeholders, and share knowledge and best practice.</w:t>
            </w:r>
          </w:p>
        </w:tc>
      </w:tr>
      <w:tr w:rsidR="00AC5BE0" w:rsidRPr="00AC5BE0" w14:paraId="580B097E"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0DAD1D26"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Local Assurance Framework</w:t>
            </w:r>
          </w:p>
        </w:tc>
        <w:tc>
          <w:tcPr>
            <w:tcW w:w="3562" w:type="pct"/>
            <w:shd w:val="clear" w:color="auto" w:fill="auto"/>
          </w:tcPr>
          <w:p w14:paraId="4543E092"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Document supporting the development and delivery of a rigorously appraised and prioritised investment programme for Cumbria, ensuring that CLEP has in place the necessary systems and processes to manage delegated funding from central Government budgets effectively and fully in line with government’s expectation as outlined in the National Local Growth Assurance Framework (January 2019).  The Framework outlines the policies, processes and procedures that Cumbria LEP will follow in relation to decision making within its Growth Programme.</w:t>
            </w:r>
          </w:p>
        </w:tc>
      </w:tr>
      <w:tr w:rsidR="00AC5BE0" w:rsidRPr="00AC5BE0" w14:paraId="71AEDAF3"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3A78196A"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Local Enterprise Partnership (LEP)</w:t>
            </w:r>
          </w:p>
        </w:tc>
        <w:tc>
          <w:tcPr>
            <w:tcW w:w="3562" w:type="pct"/>
            <w:shd w:val="clear" w:color="auto" w:fill="auto"/>
          </w:tcPr>
          <w:p w14:paraId="2C73CDE7"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Local business led partnerships between local authorities and businesses.  Set up in 2011 by the Department for Business, Innovation and Skills in order to play a central role in determining local economic priorities and undertaking activities to drive economic growth and the creation of local jobs.</w:t>
            </w:r>
          </w:p>
        </w:tc>
      </w:tr>
      <w:tr w:rsidR="00AC5BE0" w:rsidRPr="00AC5BE0" w14:paraId="02D93442"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5C1299C8"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Local Growth Fund</w:t>
            </w:r>
          </w:p>
        </w:tc>
        <w:tc>
          <w:tcPr>
            <w:tcW w:w="3562" w:type="pct"/>
            <w:shd w:val="clear" w:color="auto" w:fill="auto"/>
          </w:tcPr>
          <w:p w14:paraId="50A27116"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A capital programme consisting of the local allocation of Growth Deal monies, which in Cumbria represents the £60.2m of funding agreement with Government between 2014 and 2017.</w:t>
            </w:r>
          </w:p>
        </w:tc>
      </w:tr>
      <w:tr w:rsidR="00AC5BE0" w:rsidRPr="00AC5BE0" w14:paraId="345AAC9E"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61B68498"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Local Industrial Strategy (LIS)</w:t>
            </w:r>
          </w:p>
        </w:tc>
        <w:tc>
          <w:tcPr>
            <w:tcW w:w="3562" w:type="pct"/>
            <w:shd w:val="clear" w:color="auto" w:fill="auto"/>
          </w:tcPr>
          <w:p w14:paraId="3209930A"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Strategic document, led by Mayoral Combined Authorities or Local Enterprise Partnerships, to promote the coordination of local economic policy and national funding streams and establish new ways of working between national and local government, and the public and private sectors aligned to the national modern Industrial Strategy.</w:t>
            </w:r>
          </w:p>
        </w:tc>
      </w:tr>
      <w:tr w:rsidR="00AC5BE0" w:rsidRPr="00AC5BE0" w14:paraId="280D803B"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159CF5E7"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Major Roads Network</w:t>
            </w:r>
          </w:p>
        </w:tc>
        <w:tc>
          <w:tcPr>
            <w:tcW w:w="3562" w:type="pct"/>
            <w:shd w:val="clear" w:color="auto" w:fill="auto"/>
          </w:tcPr>
          <w:p w14:paraId="419263DA"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A proposed classification of local authority roads in England incorporating the existing Highways England controlled Strategic Road Network and the more major local authority controlled A roads.</w:t>
            </w:r>
          </w:p>
        </w:tc>
      </w:tr>
      <w:tr w:rsidR="00AC5BE0" w:rsidRPr="00AC5BE0" w14:paraId="07743B22"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28FD2FB3"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Mary Ney Review</w:t>
            </w:r>
          </w:p>
        </w:tc>
        <w:tc>
          <w:tcPr>
            <w:tcW w:w="3562" w:type="pct"/>
            <w:shd w:val="clear" w:color="auto" w:fill="auto"/>
          </w:tcPr>
          <w:p w14:paraId="141BBED2"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A review of LEP governance and transparency conducted by Mary Ney, a Ministry of Housing, Communities and Local Government (MHCLG) non-executive director following a report by the Public Affairs Committee in July 2016.  The aim of the review was to provide sufficient assurance to the Accounting officer and ministers that LEPs fully implement existing requirements for appropriate governance and transparency.</w:t>
            </w:r>
          </w:p>
        </w:tc>
      </w:tr>
      <w:tr w:rsidR="00AC5BE0" w:rsidRPr="00AC5BE0" w14:paraId="13227DC7"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110D4DB6"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Morecambe Bay Economic Area</w:t>
            </w:r>
          </w:p>
        </w:tc>
        <w:tc>
          <w:tcPr>
            <w:tcW w:w="3562" w:type="pct"/>
            <w:shd w:val="clear" w:color="auto" w:fill="auto"/>
          </w:tcPr>
          <w:p w14:paraId="466B0819"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A cross-county area around Morecambe Bay, encompassing Cumbria and Lancaster.</w:t>
            </w:r>
          </w:p>
        </w:tc>
      </w:tr>
      <w:tr w:rsidR="00AC5BE0" w:rsidRPr="00AC5BE0" w14:paraId="7290F7B1"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2D3FF4D7"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Natural Capital</w:t>
            </w:r>
          </w:p>
        </w:tc>
        <w:tc>
          <w:tcPr>
            <w:tcW w:w="3562" w:type="pct"/>
            <w:shd w:val="clear" w:color="auto" w:fill="auto"/>
          </w:tcPr>
          <w:p w14:paraId="09A0A2C4"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The assets of the local environment which provide valuable goods and services to people.</w:t>
            </w:r>
          </w:p>
        </w:tc>
      </w:tr>
      <w:tr w:rsidR="00AC5BE0" w:rsidRPr="00AC5BE0" w14:paraId="6C28B8AC"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3E7B2DDF"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Northern Cultural Regeneration Fund (NCRF)</w:t>
            </w:r>
          </w:p>
        </w:tc>
        <w:tc>
          <w:tcPr>
            <w:tcW w:w="3562" w:type="pct"/>
            <w:shd w:val="clear" w:color="auto" w:fill="auto"/>
          </w:tcPr>
          <w:p w14:paraId="169BA57F"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A £15 million fund with grants of up to £4 million available to support major culture and tech capital projects in Northern England.</w:t>
            </w:r>
          </w:p>
        </w:tc>
      </w:tr>
      <w:tr w:rsidR="00AC5BE0" w:rsidRPr="00AC5BE0" w14:paraId="6E3B9341"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71419FE2"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Northern Powerhouse (NPH)</w:t>
            </w:r>
          </w:p>
        </w:tc>
        <w:tc>
          <w:tcPr>
            <w:tcW w:w="3562" w:type="pct"/>
            <w:shd w:val="clear" w:color="auto" w:fill="auto"/>
          </w:tcPr>
          <w:p w14:paraId="7D9F959D" w14:textId="62D25F86"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Pr>
                <w:rFonts w:ascii="Arial Unicode MS" w:eastAsia="Arial Unicode MS" w:hAnsi="Arial Unicode MS" w:cs="Arial Unicode MS"/>
                <w:lang w:eastAsia="en-US"/>
              </w:rPr>
              <w:t>A mechanism</w:t>
            </w:r>
            <w:r w:rsidRPr="00AC5BE0">
              <w:rPr>
                <w:rFonts w:ascii="Arial Unicode MS" w:eastAsia="Arial Unicode MS" w:hAnsi="Arial Unicode MS" w:cs="Arial Unicode MS"/>
                <w:lang w:eastAsia="en-US"/>
              </w:rPr>
              <w:t xml:space="preserve"> to bring together the cities, towns and rural communities of the North to boost economic growth through modern transport links, aligned governance and increased investment.  </w:t>
            </w:r>
          </w:p>
        </w:tc>
      </w:tr>
      <w:tr w:rsidR="00AC5BE0" w:rsidRPr="00AC5BE0" w14:paraId="71DFBDDA"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7E8D221D"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Northern Powerhouse 11 (NP11)</w:t>
            </w:r>
          </w:p>
        </w:tc>
        <w:tc>
          <w:tcPr>
            <w:tcW w:w="3562" w:type="pct"/>
            <w:shd w:val="clear" w:color="auto" w:fill="auto"/>
          </w:tcPr>
          <w:p w14:paraId="0762BC55"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The 11 Local Enterprise Partnership Areas of the North of England which define the spatial footprint of the Northern Powerhouse.</w:t>
            </w:r>
          </w:p>
        </w:tc>
      </w:tr>
      <w:tr w:rsidR="00AC5BE0" w:rsidRPr="00AC5BE0" w14:paraId="1FB0052D"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2F833E25"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Outcomes</w:t>
            </w:r>
          </w:p>
        </w:tc>
        <w:tc>
          <w:tcPr>
            <w:tcW w:w="3562" w:type="pct"/>
            <w:shd w:val="clear" w:color="auto" w:fill="auto"/>
          </w:tcPr>
          <w:p w14:paraId="58F3E549"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The eventual benefits to society that proposals are intended to achieve.</w:t>
            </w:r>
          </w:p>
        </w:tc>
      </w:tr>
      <w:tr w:rsidR="00AC5BE0" w:rsidRPr="00AC5BE0" w14:paraId="1DDE0EF6"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3EC35927"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Outputs</w:t>
            </w:r>
          </w:p>
        </w:tc>
        <w:tc>
          <w:tcPr>
            <w:tcW w:w="3562" w:type="pct"/>
            <w:shd w:val="clear" w:color="auto" w:fill="auto"/>
          </w:tcPr>
          <w:p w14:paraId="674003C8"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The results of activities that can be clearly stated or measured and which relate in some way to the outcomes desired from the activity.</w:t>
            </w:r>
          </w:p>
        </w:tc>
      </w:tr>
      <w:tr w:rsidR="00AC5BE0" w:rsidRPr="00AC5BE0" w14:paraId="22A7A88A"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6AF0BE25"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Skills Capital</w:t>
            </w:r>
          </w:p>
        </w:tc>
        <w:tc>
          <w:tcPr>
            <w:tcW w:w="3562" w:type="pct"/>
            <w:shd w:val="clear" w:color="auto" w:fill="auto"/>
          </w:tcPr>
          <w:p w14:paraId="30BB75EC"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A programme of investment in skills capital projects following Government transferring the skills capital budget previously managed by the Skills Funding Agency to LEPs via the Local Growth Fund.</w:t>
            </w:r>
          </w:p>
        </w:tc>
      </w:tr>
      <w:tr w:rsidR="00AC5BE0" w:rsidRPr="00AC5BE0" w14:paraId="4F04A314"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14F98CC1"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SME</w:t>
            </w:r>
          </w:p>
        </w:tc>
        <w:tc>
          <w:tcPr>
            <w:tcW w:w="3562" w:type="pct"/>
            <w:shd w:val="clear" w:color="auto" w:fill="auto"/>
          </w:tcPr>
          <w:p w14:paraId="44997AB1"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Small and Medium Enterprises, usually defined as any business with fewer than 250 employees.</w:t>
            </w:r>
            <w:bookmarkStart w:id="4" w:name="_GoBack"/>
            <w:bookmarkEnd w:id="4"/>
          </w:p>
        </w:tc>
      </w:tr>
      <w:tr w:rsidR="00AC5BE0" w:rsidRPr="00AC5BE0" w14:paraId="7931DD8B"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7FF11ABE"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Strategic Economic Plan (SEP) (Cumbria)</w:t>
            </w:r>
          </w:p>
        </w:tc>
        <w:tc>
          <w:tcPr>
            <w:tcW w:w="3562" w:type="pct"/>
            <w:shd w:val="clear" w:color="auto" w:fill="auto"/>
          </w:tcPr>
          <w:p w14:paraId="5F9BDB1D"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Strategic document published in 2014 setting out a 10 year plan for how Cumbria’s economy can deliver jobs, business growth, improved skills, new infrastructure, housing and a range of other economic benefits.</w:t>
            </w:r>
          </w:p>
        </w:tc>
      </w:tr>
      <w:tr w:rsidR="00AC5BE0" w:rsidRPr="00AC5BE0" w14:paraId="4D748E75"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090D20ED"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Strengthened Local Enterprise Partnerships</w:t>
            </w:r>
          </w:p>
        </w:tc>
        <w:tc>
          <w:tcPr>
            <w:tcW w:w="3562" w:type="pct"/>
            <w:shd w:val="clear" w:color="auto" w:fill="auto"/>
          </w:tcPr>
          <w:p w14:paraId="57B4C849"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Policy document setting out the role and responsibilities of Local Enterprise Partnerships in driving local growth.  It sets out how government and Local Enterprise Partnerships will work together to strengthen leadership and capability, improve accountability and manage risk, and provide clarity on geography.</w:t>
            </w:r>
          </w:p>
        </w:tc>
      </w:tr>
      <w:tr w:rsidR="00AC5BE0" w:rsidRPr="00AC5BE0" w14:paraId="3968D36F"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0B89F49A"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Tourism Action Zone status</w:t>
            </w:r>
          </w:p>
        </w:tc>
        <w:tc>
          <w:tcPr>
            <w:tcW w:w="3562" w:type="pct"/>
            <w:shd w:val="clear" w:color="auto" w:fill="auto"/>
          </w:tcPr>
          <w:p w14:paraId="4679601B"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Recognition of a tourism zone within the Tourism Sector Deal to build quality tourism products that meet visitor needs and expectations, extending the tourism season and fixing localised transport issues.</w:t>
            </w:r>
          </w:p>
        </w:tc>
      </w:tr>
      <w:tr w:rsidR="00AC5BE0" w:rsidRPr="00AC5BE0" w14:paraId="5E4E6D26" w14:textId="77777777" w:rsidTr="00D97C3C">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05842B2F" w14:textId="77777777" w:rsidR="00AC5BE0" w:rsidRPr="00AC5BE0" w:rsidRDefault="00AC5BE0" w:rsidP="00AC5BE0">
            <w:pPr>
              <w:jc w:val="left"/>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 xml:space="preserve">VCSE </w:t>
            </w:r>
          </w:p>
        </w:tc>
        <w:tc>
          <w:tcPr>
            <w:tcW w:w="3562" w:type="pct"/>
            <w:shd w:val="clear" w:color="auto" w:fill="auto"/>
          </w:tcPr>
          <w:p w14:paraId="3A796618" w14:textId="77777777" w:rsidR="00AC5BE0" w:rsidRPr="00AC5BE0" w:rsidRDefault="00AC5BE0" w:rsidP="00AC5BE0">
            <w:pPr>
              <w:jc w:val="lef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AC5BE0">
              <w:rPr>
                <w:rFonts w:ascii="Arial Unicode MS" w:eastAsia="Arial Unicode MS" w:hAnsi="Arial Unicode MS" w:cs="Arial Unicode MS"/>
                <w:lang w:eastAsia="en-US"/>
              </w:rPr>
              <w:t>Voluntary, Community and Social Enterprise</w:t>
            </w:r>
          </w:p>
        </w:tc>
      </w:tr>
    </w:tbl>
    <w:p w14:paraId="5E4364D6" w14:textId="7CD4257F" w:rsidR="00523C6B" w:rsidRPr="005F53CF" w:rsidRDefault="00AC5BE0" w:rsidP="00AC5BE0">
      <w:pPr>
        <w:tabs>
          <w:tab w:val="left" w:pos="870"/>
        </w:tabs>
        <w:spacing w:after="200" w:line="276" w:lineRule="auto"/>
        <w:jc w:val="left"/>
        <w:rPr>
          <w:rFonts w:ascii="Arial" w:hAnsi="Arial" w:cs="Arial"/>
          <w:sz w:val="24"/>
          <w:szCs w:val="24"/>
          <w:lang w:val="fr-FR"/>
        </w:rPr>
      </w:pPr>
      <w:r>
        <w:rPr>
          <w:rFonts w:ascii="Arial" w:hAnsi="Arial" w:cs="Arial"/>
          <w:sz w:val="24"/>
          <w:szCs w:val="24"/>
          <w:lang w:val="fr-FR"/>
        </w:rPr>
        <w:tab/>
      </w:r>
    </w:p>
    <w:p w14:paraId="2FC30669" w14:textId="24FBF1DB" w:rsidR="008535DA" w:rsidRDefault="008535DA" w:rsidP="00523C6B">
      <w:pPr>
        <w:pStyle w:val="Heading1"/>
        <w:numPr>
          <w:ilvl w:val="0"/>
          <w:numId w:val="0"/>
        </w:numPr>
        <w:rPr>
          <w:rFonts w:cs="Arial"/>
        </w:rPr>
        <w:sectPr w:rsidR="008535DA" w:rsidSect="00281CE4">
          <w:headerReference w:type="default" r:id="rId14"/>
          <w:footerReference w:type="default" r:id="rId15"/>
          <w:headerReference w:type="first" r:id="rId16"/>
          <w:pgSz w:w="11906" w:h="16838" w:code="9"/>
          <w:pgMar w:top="1418" w:right="1247" w:bottom="1588" w:left="1247" w:header="680" w:footer="340" w:gutter="0"/>
          <w:cols w:space="708"/>
          <w:titlePg/>
          <w:docGrid w:linePitch="360"/>
        </w:sectPr>
      </w:pPr>
    </w:p>
    <w:p w14:paraId="32F22265" w14:textId="77777777" w:rsidR="008535DA" w:rsidRPr="005F53CF" w:rsidRDefault="008535DA" w:rsidP="00E84665">
      <w:pPr>
        <w:pStyle w:val="Heading5"/>
        <w:numPr>
          <w:ilvl w:val="0"/>
          <w:numId w:val="0"/>
        </w:numPr>
        <w:rPr>
          <w:rFonts w:ascii="Arial" w:hAnsi="Arial" w:cs="Arial"/>
          <w:sz w:val="24"/>
          <w:szCs w:val="24"/>
        </w:rPr>
      </w:pPr>
    </w:p>
    <w:sectPr w:rsidR="008535DA" w:rsidRPr="005F53CF" w:rsidSect="00281CE4">
      <w:pgSz w:w="11906" w:h="16838" w:code="9"/>
      <w:pgMar w:top="1588" w:right="1247" w:bottom="1418" w:left="1247" w:header="68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7C2B0F" w14:textId="77777777" w:rsidR="00A8242C" w:rsidRDefault="00A8242C" w:rsidP="00D20711">
      <w:pPr>
        <w:spacing w:after="0"/>
      </w:pPr>
      <w:r>
        <w:separator/>
      </w:r>
    </w:p>
  </w:endnote>
  <w:endnote w:type="continuationSeparator" w:id="0">
    <w:p w14:paraId="20951FE9" w14:textId="77777777" w:rsidR="00A8242C" w:rsidRDefault="00A8242C" w:rsidP="00D20711">
      <w:pPr>
        <w:spacing w:after="0"/>
      </w:pPr>
      <w:r>
        <w:continuationSeparator/>
      </w:r>
    </w:p>
  </w:endnote>
  <w:endnote w:type="continuationNotice" w:id="1">
    <w:p w14:paraId="5D62360F" w14:textId="77777777" w:rsidR="00A8242C" w:rsidRDefault="00A824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Neue-Light">
    <w:altName w:val="Arial"/>
    <w:panose1 w:val="00000000000000000000"/>
    <w:charset w:val="00"/>
    <w:family w:val="auto"/>
    <w:notTrueType/>
    <w:pitch w:val="default"/>
    <w:sig w:usb0="00000003" w:usb1="00000000" w:usb2="00000000" w:usb3="00000000" w:csb0="00000001" w:csb1="00000000"/>
  </w:font>
  <w:font w:name="Arial Bold">
    <w:altName w:val="Arial"/>
    <w:panose1 w:val="020B0704020202020204"/>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195"/>
      <w:gridCol w:w="1021"/>
      <w:gridCol w:w="4196"/>
    </w:tblGrid>
    <w:tr w:rsidR="00A8242C" w14:paraId="423B7B8F" w14:textId="77777777" w:rsidTr="00010B5A">
      <w:tc>
        <w:tcPr>
          <w:tcW w:w="4195" w:type="dxa"/>
          <w:vAlign w:val="bottom"/>
        </w:tcPr>
        <w:p w14:paraId="2A709F0C" w14:textId="4EF6E889" w:rsidR="00A8242C" w:rsidRPr="00885B83" w:rsidRDefault="00A8242C" w:rsidP="006D6E50">
          <w:pPr>
            <w:pStyle w:val="FooterInfo"/>
            <w:rPr>
              <w:rFonts w:ascii="Century Gothic" w:hAnsi="Century Gothic"/>
            </w:rPr>
          </w:pPr>
        </w:p>
      </w:tc>
      <w:tc>
        <w:tcPr>
          <w:tcW w:w="1021" w:type="dxa"/>
          <w:vAlign w:val="bottom"/>
        </w:tcPr>
        <w:p w14:paraId="3D924BFA" w14:textId="4850E9C6" w:rsidR="00A8242C" w:rsidRPr="00885B83" w:rsidRDefault="00AC5BE0" w:rsidP="006D6E50">
          <w:pPr>
            <w:pStyle w:val="Footer"/>
            <w:rPr>
              <w:rFonts w:ascii="Century Gothic" w:hAnsi="Century Gothic"/>
            </w:rPr>
          </w:pPr>
          <w:sdt>
            <w:sdtPr>
              <w:rPr>
                <w:rFonts w:ascii="Century Gothic" w:hAnsi="Century Gothic"/>
              </w:rPr>
              <w:id w:val="850994770"/>
              <w:docPartObj>
                <w:docPartGallery w:val="Page Numbers (Bottom of Page)"/>
                <w:docPartUnique/>
              </w:docPartObj>
            </w:sdtPr>
            <w:sdtEndPr>
              <w:rPr>
                <w:noProof/>
                <w:sz w:val="28"/>
              </w:rPr>
            </w:sdtEndPr>
            <w:sdtContent>
              <w:r w:rsidR="00A8242C" w:rsidRPr="00885B83">
                <w:rPr>
                  <w:rFonts w:ascii="Century Gothic" w:hAnsi="Century Gothic"/>
                </w:rPr>
                <w:t xml:space="preserve">Page </w:t>
              </w:r>
              <w:r w:rsidR="00A8242C" w:rsidRPr="00885B83">
                <w:rPr>
                  <w:rFonts w:ascii="Century Gothic" w:hAnsi="Century Gothic"/>
                </w:rPr>
                <w:fldChar w:fldCharType="begin"/>
              </w:r>
              <w:r w:rsidR="00A8242C" w:rsidRPr="00885B83">
                <w:rPr>
                  <w:rFonts w:ascii="Century Gothic" w:hAnsi="Century Gothic"/>
                </w:rPr>
                <w:instrText xml:space="preserve"> PAGE   \* MERGEFORMAT </w:instrText>
              </w:r>
              <w:r w:rsidR="00A8242C" w:rsidRPr="00885B83">
                <w:rPr>
                  <w:rFonts w:ascii="Century Gothic" w:hAnsi="Century Gothic"/>
                </w:rPr>
                <w:fldChar w:fldCharType="separate"/>
              </w:r>
              <w:r>
                <w:rPr>
                  <w:rFonts w:ascii="Century Gothic" w:hAnsi="Century Gothic"/>
                  <w:noProof/>
                </w:rPr>
                <w:t>2</w:t>
              </w:r>
              <w:r w:rsidR="00A8242C" w:rsidRPr="00885B83">
                <w:rPr>
                  <w:rFonts w:ascii="Century Gothic" w:hAnsi="Century Gothic"/>
                </w:rPr>
                <w:fldChar w:fldCharType="end"/>
              </w:r>
            </w:sdtContent>
          </w:sdt>
        </w:p>
      </w:tc>
      <w:tc>
        <w:tcPr>
          <w:tcW w:w="4196" w:type="dxa"/>
          <w:vAlign w:val="bottom"/>
        </w:tcPr>
        <w:p w14:paraId="30798DA3" w14:textId="7143A842" w:rsidR="00A8242C" w:rsidRPr="00885B83" w:rsidRDefault="00A8242C" w:rsidP="006D6E50">
          <w:pPr>
            <w:pStyle w:val="Footer"/>
            <w:jc w:val="right"/>
            <w:rPr>
              <w:rFonts w:ascii="Century Gothic" w:hAnsi="Century Gothic"/>
            </w:rPr>
          </w:pPr>
          <w:r>
            <w:rPr>
              <w:rFonts w:ascii="Century Gothic" w:hAnsi="Century Gothic"/>
              <w:noProof/>
              <w:snapToGrid/>
            </w:rPr>
            <w:drawing>
              <wp:anchor distT="0" distB="0" distL="114300" distR="114300" simplePos="0" relativeHeight="251656704" behindDoc="1" locked="0" layoutInCell="1" allowOverlap="1" wp14:anchorId="12853AC0" wp14:editId="5C0F12B5">
                <wp:simplePos x="0" y="0"/>
                <wp:positionH relativeFrom="column">
                  <wp:posOffset>1254125</wp:posOffset>
                </wp:positionH>
                <wp:positionV relativeFrom="paragraph">
                  <wp:posOffset>-154940</wp:posOffset>
                </wp:positionV>
                <wp:extent cx="1972310" cy="496570"/>
                <wp:effectExtent l="0" t="0" r="8890" b="114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972310" cy="496570"/>
                        </a:xfrm>
                        <a:prstGeom prst="rect">
                          <a:avLst/>
                        </a:prstGeom>
                      </pic:spPr>
                    </pic:pic>
                  </a:graphicData>
                </a:graphic>
                <wp14:sizeRelH relativeFrom="page">
                  <wp14:pctWidth>0</wp14:pctWidth>
                </wp14:sizeRelH>
                <wp14:sizeRelV relativeFrom="page">
                  <wp14:pctHeight>0</wp14:pctHeight>
                </wp14:sizeRelV>
              </wp:anchor>
            </w:drawing>
          </w:r>
        </w:p>
      </w:tc>
    </w:tr>
  </w:tbl>
  <w:p w14:paraId="7EFFF284" w14:textId="36021D4F" w:rsidR="00A8242C" w:rsidRDefault="00A8242C" w:rsidP="006D6E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89401E" w14:textId="77777777" w:rsidR="00A8242C" w:rsidRPr="00AC3280" w:rsidRDefault="00A8242C" w:rsidP="00AC3280">
      <w:pPr>
        <w:pStyle w:val="Footer"/>
        <w:rPr>
          <w:sz w:val="12"/>
          <w:szCs w:val="12"/>
        </w:rPr>
      </w:pPr>
    </w:p>
  </w:footnote>
  <w:footnote w:type="continuationSeparator" w:id="0">
    <w:p w14:paraId="75CE84BC" w14:textId="77777777" w:rsidR="00A8242C" w:rsidRDefault="00A8242C" w:rsidP="00D20711">
      <w:pPr>
        <w:spacing w:after="0"/>
      </w:pPr>
      <w:r>
        <w:continuationSeparator/>
      </w:r>
    </w:p>
  </w:footnote>
  <w:footnote w:type="continuationNotice" w:id="1">
    <w:p w14:paraId="080B821E" w14:textId="77777777" w:rsidR="00A8242C" w:rsidRDefault="00A8242C">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AC0FE" w14:textId="5A15DBBE" w:rsidR="00A8242C" w:rsidRPr="00885B83" w:rsidRDefault="00A8242C" w:rsidP="00885B83">
    <w:pPr>
      <w:pStyle w:val="Header"/>
      <w:rPr>
        <w:rFonts w:ascii="Century Gothic" w:hAnsi="Century Gothic"/>
        <w:color w:val="626262"/>
      </w:rPr>
    </w:pPr>
    <w:r w:rsidRPr="00885B83">
      <w:rPr>
        <w:rFonts w:ascii="Century Gothic" w:hAnsi="Century Gothic"/>
        <w:color w:val="626262"/>
      </w:rPr>
      <w:t>CLEP Delivery Plan 2019-20 V</w:t>
    </w:r>
    <w:r>
      <w:rPr>
        <w:rFonts w:ascii="Century Gothic" w:hAnsi="Century Gothic"/>
        <w:color w:val="626262"/>
      </w:rPr>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20BEC" w14:textId="68B2E626" w:rsidR="00A8242C" w:rsidRDefault="00A8242C">
    <w:pPr>
      <w:pStyle w:val="Header"/>
    </w:pPr>
    <w:r>
      <w:rPr>
        <w:noProof/>
        <w:lang w:eastAsia="en-GB"/>
      </w:rPr>
      <w:drawing>
        <wp:anchor distT="0" distB="0" distL="114300" distR="114300" simplePos="0" relativeHeight="251657728" behindDoc="1" locked="0" layoutInCell="1" allowOverlap="1" wp14:anchorId="762C0B57" wp14:editId="066E586A">
          <wp:simplePos x="0" y="0"/>
          <wp:positionH relativeFrom="column">
            <wp:posOffset>-800100</wp:posOffset>
          </wp:positionH>
          <wp:positionV relativeFrom="paragraph">
            <wp:posOffset>-445770</wp:posOffset>
          </wp:positionV>
          <wp:extent cx="7595675" cy="10741439"/>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v2b.jpg"/>
                  <pic:cNvPicPr/>
                </pic:nvPicPr>
                <pic:blipFill>
                  <a:blip r:embed="rId1">
                    <a:extLst>
                      <a:ext uri="{28A0092B-C50C-407E-A947-70E740481C1C}">
                        <a14:useLocalDpi xmlns:a14="http://schemas.microsoft.com/office/drawing/2010/main" val="0"/>
                      </a:ext>
                    </a:extLst>
                  </a:blip>
                  <a:stretch>
                    <a:fillRect/>
                  </a:stretch>
                </pic:blipFill>
                <pic:spPr>
                  <a:xfrm>
                    <a:off x="0" y="0"/>
                    <a:ext cx="7595675" cy="107414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686A94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9EC31E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F069A4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EA6E4EC"/>
    <w:lvl w:ilvl="0">
      <w:start w:val="1"/>
      <w:numFmt w:val="decimal"/>
      <w:pStyle w:val="ListNumber2"/>
      <w:lvlText w:val="%1."/>
      <w:lvlJc w:val="left"/>
      <w:pPr>
        <w:tabs>
          <w:tab w:val="num" w:pos="643"/>
        </w:tabs>
        <w:ind w:left="643" w:hanging="360"/>
      </w:pPr>
    </w:lvl>
  </w:abstractNum>
  <w:abstractNum w:abstractNumId="4">
    <w:nsid w:val="FFFFFF80"/>
    <w:multiLevelType w:val="singleLevel"/>
    <w:tmpl w:val="F3B8893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D9C8BC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264F29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54EED3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3D8B75E"/>
    <w:lvl w:ilvl="0">
      <w:start w:val="1"/>
      <w:numFmt w:val="decimal"/>
      <w:pStyle w:val="ListNumber"/>
      <w:lvlText w:val="%1."/>
      <w:lvlJc w:val="left"/>
      <w:pPr>
        <w:tabs>
          <w:tab w:val="num" w:pos="360"/>
        </w:tabs>
        <w:ind w:left="360" w:hanging="360"/>
      </w:pPr>
    </w:lvl>
  </w:abstractNum>
  <w:abstractNum w:abstractNumId="9">
    <w:nsid w:val="FFFFFF89"/>
    <w:multiLevelType w:val="singleLevel"/>
    <w:tmpl w:val="53A2043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8D1A7B"/>
    <w:multiLevelType w:val="multilevel"/>
    <w:tmpl w:val="0E18EACA"/>
    <w:styleLink w:val="NumbLstAnnex"/>
    <w:lvl w:ilvl="0">
      <w:start w:val="1"/>
      <w:numFmt w:val="upperLetter"/>
      <w:suff w:val="space"/>
      <w:lvlText w:val="Annexur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2EC3711"/>
    <w:multiLevelType w:val="multilevel"/>
    <w:tmpl w:val="2D22CC94"/>
    <w:numStyleLink w:val="NumbLstBullets"/>
  </w:abstractNum>
  <w:abstractNum w:abstractNumId="12">
    <w:nsid w:val="02F47BCB"/>
    <w:multiLevelType w:val="multilevel"/>
    <w:tmpl w:val="2D22CC94"/>
    <w:numStyleLink w:val="NumbLstBullets"/>
  </w:abstractNum>
  <w:abstractNum w:abstractNumId="13">
    <w:nsid w:val="06127E01"/>
    <w:multiLevelType w:val="multilevel"/>
    <w:tmpl w:val="A65CC16C"/>
    <w:numStyleLink w:val="NumbLstNumb"/>
  </w:abstractNum>
  <w:abstractNum w:abstractNumId="14">
    <w:nsid w:val="0B515190"/>
    <w:multiLevelType w:val="multilevel"/>
    <w:tmpl w:val="2D22CC94"/>
    <w:numStyleLink w:val="NumbLstBullets"/>
  </w:abstractNum>
  <w:abstractNum w:abstractNumId="15">
    <w:nsid w:val="0C1D5F37"/>
    <w:multiLevelType w:val="multilevel"/>
    <w:tmpl w:val="1690FE2C"/>
    <w:lvl w:ilvl="0">
      <w:start w:val="1"/>
      <w:numFmt w:val="bullet"/>
      <w:pStyle w:val="Bullets"/>
      <w:lvlText w:val=""/>
      <w:lvlJc w:val="left"/>
      <w:pPr>
        <w:tabs>
          <w:tab w:val="num" w:pos="936"/>
        </w:tabs>
        <w:ind w:left="936" w:hanging="360"/>
      </w:pPr>
      <w:rPr>
        <w:rFonts w:ascii="Symbol" w:hAnsi="Symbol" w:hint="default"/>
      </w:rPr>
    </w:lvl>
    <w:lvl w:ilvl="1">
      <w:start w:val="1"/>
      <w:numFmt w:val="bullet"/>
      <w:lvlText w:val="­"/>
      <w:lvlJc w:val="left"/>
      <w:pPr>
        <w:tabs>
          <w:tab w:val="num" w:pos="1296"/>
        </w:tabs>
        <w:ind w:left="1296" w:hanging="360"/>
      </w:pPr>
      <w:rPr>
        <w:rFonts w:ascii="Times New Roman" w:hAnsi="Times New Roman" w:hint="default"/>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0EF505A3"/>
    <w:multiLevelType w:val="hybridMultilevel"/>
    <w:tmpl w:val="F5CE9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1CF7594"/>
    <w:multiLevelType w:val="multilevel"/>
    <w:tmpl w:val="972885CC"/>
    <w:styleLink w:val="NumbLstAppendix"/>
    <w:lvl w:ilvl="0">
      <w:start w:val="1"/>
      <w:numFmt w:val="upperLetter"/>
      <w:lvlText w:val="Appendix %1 - "/>
      <w:lvlJc w:val="left"/>
      <w:pPr>
        <w:tabs>
          <w:tab w:val="num" w:pos="2552"/>
        </w:tabs>
        <w:ind w:left="2552" w:hanging="2552"/>
      </w:pPr>
      <w:rPr>
        <w:rFonts w:hint="default"/>
      </w:rPr>
    </w:lvl>
    <w:lvl w:ilvl="1">
      <w:start w:val="1"/>
      <w:numFmt w:val="decimal"/>
      <w:pStyle w:val="AppendixHeading5"/>
      <w:lvlText w:val="%1.%2"/>
      <w:lvlJc w:val="left"/>
      <w:pPr>
        <w:tabs>
          <w:tab w:val="num" w:pos="680"/>
        </w:tabs>
        <w:ind w:left="680" w:hanging="680"/>
      </w:pPr>
      <w:rPr>
        <w:rFonts w:hint="default"/>
      </w:rPr>
    </w:lvl>
    <w:lvl w:ilvl="2">
      <w:start w:val="1"/>
      <w:numFmt w:val="decimal"/>
      <w:lvlRestart w:val="1"/>
      <w:pStyle w:val="AppendixTableTitle"/>
      <w:suff w:val="space"/>
      <w:lvlText w:val="Table %1.%3"/>
      <w:lvlJc w:val="left"/>
      <w:pPr>
        <w:ind w:left="680" w:firstLine="0"/>
      </w:pPr>
      <w:rPr>
        <w:rFonts w:hint="default"/>
      </w:rPr>
    </w:lvl>
    <w:lvl w:ilvl="3">
      <w:start w:val="1"/>
      <w:numFmt w:val="decimal"/>
      <w:lvlRestart w:val="1"/>
      <w:pStyle w:val="AppendixFigureTitle"/>
      <w:suff w:val="space"/>
      <w:lvlText w:val="Figure %1.%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8907275"/>
    <w:multiLevelType w:val="multilevel"/>
    <w:tmpl w:val="024EE126"/>
    <w:numStyleLink w:val="NumbLstKeyMess"/>
  </w:abstractNum>
  <w:abstractNum w:abstractNumId="19">
    <w:nsid w:val="1E8E661D"/>
    <w:multiLevelType w:val="multilevel"/>
    <w:tmpl w:val="0602C0AA"/>
    <w:styleLink w:val="NumbLstTable"/>
    <w:lvl w:ilvl="0">
      <w:start w:val="1"/>
      <w:numFmt w:val="bullet"/>
      <w:pStyle w:val="TableBullet"/>
      <w:lvlText w:val=""/>
      <w:lvlJc w:val="left"/>
      <w:pPr>
        <w:tabs>
          <w:tab w:val="num" w:pos="425"/>
        </w:tabs>
        <w:ind w:left="425" w:hanging="340"/>
      </w:pPr>
      <w:rPr>
        <w:rFonts w:ascii="Symbol" w:hAnsi="Symbol" w:hint="default"/>
        <w:color w:val="auto"/>
      </w:rPr>
    </w:lvl>
    <w:lvl w:ilvl="1">
      <w:start w:val="1"/>
      <w:numFmt w:val="none"/>
      <w:suff w:val="nothing"/>
      <w:lvlText w:val=""/>
      <w:lvlJc w:val="left"/>
      <w:pPr>
        <w:ind w:left="340" w:firstLine="0"/>
      </w:pPr>
      <w:rPr>
        <w:rFonts w:hint="default"/>
      </w:rPr>
    </w:lvl>
    <w:lvl w:ilvl="2">
      <w:start w:val="1"/>
      <w:numFmt w:val="none"/>
      <w:suff w:val="nothing"/>
      <w:lvlText w:val=""/>
      <w:lvlJc w:val="left"/>
      <w:pPr>
        <w:ind w:left="340" w:firstLine="0"/>
      </w:pPr>
      <w:rPr>
        <w:rFonts w:hint="default"/>
      </w:rPr>
    </w:lvl>
    <w:lvl w:ilvl="3">
      <w:start w:val="1"/>
      <w:numFmt w:val="none"/>
      <w:suff w:val="nothing"/>
      <w:lvlText w:val=""/>
      <w:lvlJc w:val="left"/>
      <w:pPr>
        <w:ind w:left="340" w:firstLine="0"/>
      </w:pPr>
      <w:rPr>
        <w:rFonts w:hint="default"/>
      </w:rPr>
    </w:lvl>
    <w:lvl w:ilvl="4">
      <w:start w:val="1"/>
      <w:numFmt w:val="none"/>
      <w:suff w:val="nothing"/>
      <w:lvlText w:val=""/>
      <w:lvlJc w:val="left"/>
      <w:pPr>
        <w:ind w:left="340" w:firstLine="0"/>
      </w:pPr>
      <w:rPr>
        <w:rFonts w:hint="default"/>
      </w:rPr>
    </w:lvl>
    <w:lvl w:ilvl="5">
      <w:start w:val="1"/>
      <w:numFmt w:val="none"/>
      <w:suff w:val="nothing"/>
      <w:lvlText w:val=""/>
      <w:lvlJc w:val="left"/>
      <w:pPr>
        <w:ind w:left="340" w:firstLine="0"/>
      </w:pPr>
      <w:rPr>
        <w:rFonts w:hint="default"/>
      </w:rPr>
    </w:lvl>
    <w:lvl w:ilvl="6">
      <w:start w:val="1"/>
      <w:numFmt w:val="none"/>
      <w:suff w:val="nothing"/>
      <w:lvlText w:val=""/>
      <w:lvlJc w:val="left"/>
      <w:pPr>
        <w:ind w:left="340" w:firstLine="0"/>
      </w:pPr>
      <w:rPr>
        <w:rFonts w:hint="default"/>
      </w:rPr>
    </w:lvl>
    <w:lvl w:ilvl="7">
      <w:start w:val="1"/>
      <w:numFmt w:val="none"/>
      <w:suff w:val="nothing"/>
      <w:lvlText w:val=""/>
      <w:lvlJc w:val="left"/>
      <w:pPr>
        <w:ind w:left="340" w:firstLine="0"/>
      </w:pPr>
      <w:rPr>
        <w:rFonts w:hint="default"/>
      </w:rPr>
    </w:lvl>
    <w:lvl w:ilvl="8">
      <w:start w:val="1"/>
      <w:numFmt w:val="none"/>
      <w:suff w:val="nothing"/>
      <w:lvlText w:val=""/>
      <w:lvlJc w:val="left"/>
      <w:pPr>
        <w:ind w:left="340" w:firstLine="0"/>
      </w:pPr>
      <w:rPr>
        <w:rFonts w:hint="default"/>
      </w:rPr>
    </w:lvl>
  </w:abstractNum>
  <w:abstractNum w:abstractNumId="20">
    <w:nsid w:val="1F327640"/>
    <w:multiLevelType w:val="singleLevel"/>
    <w:tmpl w:val="4D925D12"/>
    <w:lvl w:ilvl="0">
      <w:start w:val="1"/>
      <w:numFmt w:val="bullet"/>
      <w:lvlText w:val=""/>
      <w:lvlJc w:val="left"/>
      <w:pPr>
        <w:tabs>
          <w:tab w:val="num" w:pos="1361"/>
        </w:tabs>
        <w:ind w:left="1361" w:hanging="681"/>
      </w:pPr>
      <w:rPr>
        <w:rFonts w:ascii="Symbol" w:hAnsi="Symbol" w:hint="default"/>
        <w:color w:val="008080"/>
        <w:sz w:val="22"/>
      </w:rPr>
    </w:lvl>
  </w:abstractNum>
  <w:abstractNum w:abstractNumId="21">
    <w:nsid w:val="20A34C7E"/>
    <w:multiLevelType w:val="hybridMultilevel"/>
    <w:tmpl w:val="F4C834E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2817937"/>
    <w:multiLevelType w:val="multilevel"/>
    <w:tmpl w:val="A65CC16C"/>
    <w:styleLink w:val="NumbLstNumb"/>
    <w:lvl w:ilvl="0">
      <w:start w:val="1"/>
      <w:numFmt w:val="lowerRoman"/>
      <w:pStyle w:val="ExecSummPara"/>
      <w:lvlText w:val="%1."/>
      <w:lvlJc w:val="left"/>
      <w:pPr>
        <w:tabs>
          <w:tab w:val="num" w:pos="680"/>
        </w:tabs>
        <w:ind w:left="680" w:hanging="680"/>
      </w:pPr>
      <w:rPr>
        <w:rFonts w:hint="default"/>
      </w:rPr>
    </w:lvl>
    <w:lvl w:ilvl="1">
      <w:start w:val="1"/>
      <w:numFmt w:val="bullet"/>
      <w:pStyle w:val="Execsummbullet"/>
      <w:lvlText w:val=""/>
      <w:lvlJc w:val="left"/>
      <w:pPr>
        <w:tabs>
          <w:tab w:val="num" w:pos="1361"/>
        </w:tabs>
        <w:ind w:left="1361" w:hanging="681"/>
      </w:pPr>
      <w:rPr>
        <w:rFonts w:ascii="Symbol" w:hAnsi="Symbol" w:hint="default"/>
        <w:color w:val="auto"/>
        <w:sz w:val="18"/>
      </w:rPr>
    </w:lvl>
    <w:lvl w:ilvl="2">
      <w:start w:val="1"/>
      <w:numFmt w:val="decimal"/>
      <w:pStyle w:val="ExecSummTableTitle"/>
      <w:suff w:val="space"/>
      <w:lvlText w:val="Table %3"/>
      <w:lvlJc w:val="left"/>
      <w:pPr>
        <w:ind w:left="703" w:firstLine="0"/>
      </w:pPr>
      <w:rPr>
        <w:rFonts w:hint="default"/>
      </w:rPr>
    </w:lvl>
    <w:lvl w:ilvl="3">
      <w:start w:val="1"/>
      <w:numFmt w:val="none"/>
      <w:suff w:val="nothing"/>
      <w:lvlText w:val=""/>
      <w:lvlJc w:val="left"/>
      <w:pPr>
        <w:ind w:left="1361" w:firstLine="0"/>
      </w:pPr>
      <w:rPr>
        <w:rFonts w:hint="default"/>
      </w:rPr>
    </w:lvl>
    <w:lvl w:ilvl="4">
      <w:start w:val="1"/>
      <w:numFmt w:val="none"/>
      <w:suff w:val="nothing"/>
      <w:lvlText w:val=""/>
      <w:lvlJc w:val="left"/>
      <w:pPr>
        <w:ind w:left="1361" w:firstLine="0"/>
      </w:pPr>
      <w:rPr>
        <w:rFonts w:hint="default"/>
      </w:rPr>
    </w:lvl>
    <w:lvl w:ilvl="5">
      <w:start w:val="1"/>
      <w:numFmt w:val="none"/>
      <w:suff w:val="nothing"/>
      <w:lvlText w:val=""/>
      <w:lvlJc w:val="left"/>
      <w:pPr>
        <w:ind w:left="1361" w:firstLine="0"/>
      </w:pPr>
      <w:rPr>
        <w:rFonts w:hint="default"/>
      </w:rPr>
    </w:lvl>
    <w:lvl w:ilvl="6">
      <w:start w:val="1"/>
      <w:numFmt w:val="none"/>
      <w:suff w:val="nothing"/>
      <w:lvlText w:val=""/>
      <w:lvlJc w:val="left"/>
      <w:pPr>
        <w:ind w:left="1361" w:firstLine="0"/>
      </w:pPr>
      <w:rPr>
        <w:rFonts w:hint="default"/>
      </w:rPr>
    </w:lvl>
    <w:lvl w:ilvl="7">
      <w:start w:val="1"/>
      <w:numFmt w:val="none"/>
      <w:suff w:val="nothing"/>
      <w:lvlText w:val=""/>
      <w:lvlJc w:val="left"/>
      <w:pPr>
        <w:ind w:left="1361" w:firstLine="0"/>
      </w:pPr>
      <w:rPr>
        <w:rFonts w:hint="default"/>
      </w:rPr>
    </w:lvl>
    <w:lvl w:ilvl="8">
      <w:start w:val="1"/>
      <w:numFmt w:val="none"/>
      <w:suff w:val="nothing"/>
      <w:lvlText w:val=""/>
      <w:lvlJc w:val="left"/>
      <w:pPr>
        <w:ind w:left="1361" w:firstLine="0"/>
      </w:pPr>
      <w:rPr>
        <w:rFonts w:hint="default"/>
      </w:rPr>
    </w:lvl>
  </w:abstractNum>
  <w:abstractNum w:abstractNumId="23">
    <w:nsid w:val="2516774C"/>
    <w:multiLevelType w:val="multilevel"/>
    <w:tmpl w:val="2D22CC94"/>
    <w:numStyleLink w:val="NumbLstBullets"/>
  </w:abstractNum>
  <w:abstractNum w:abstractNumId="24">
    <w:nsid w:val="266416BE"/>
    <w:multiLevelType w:val="multilevel"/>
    <w:tmpl w:val="A65CC16C"/>
    <w:numStyleLink w:val="NumbLstNumb"/>
  </w:abstractNum>
  <w:abstractNum w:abstractNumId="25">
    <w:nsid w:val="2E9C4B21"/>
    <w:multiLevelType w:val="multilevel"/>
    <w:tmpl w:val="AAA8A0C4"/>
    <w:numStyleLink w:val="NumbLstMain"/>
  </w:abstractNum>
  <w:abstractNum w:abstractNumId="26">
    <w:nsid w:val="30697196"/>
    <w:multiLevelType w:val="multilevel"/>
    <w:tmpl w:val="2A2660FC"/>
    <w:styleLink w:val="NumbLstBullet"/>
    <w:lvl w:ilvl="0">
      <w:start w:val="1"/>
      <w:numFmt w:val="bullet"/>
      <w:lvlText w:val=""/>
      <w:lvlJc w:val="left"/>
      <w:pPr>
        <w:ind w:left="340" w:hanging="340"/>
      </w:pPr>
      <w:rPr>
        <w:rFonts w:ascii="Symbol" w:hAnsi="Symbol" w:hint="default"/>
        <w:color w:val="CE7628" w:themeColor="text2"/>
      </w:rPr>
    </w:lvl>
    <w:lvl w:ilvl="1">
      <w:start w:val="1"/>
      <w:numFmt w:val="bullet"/>
      <w:lvlText w:val="–"/>
      <w:lvlJc w:val="left"/>
      <w:pPr>
        <w:ind w:left="680" w:hanging="340"/>
      </w:pPr>
      <w:rPr>
        <w:rFonts w:ascii="Arial" w:hAnsi="Arial" w:hint="default"/>
        <w:color w:val="auto"/>
      </w:rPr>
    </w:lvl>
    <w:lvl w:ilvl="2">
      <w:start w:val="1"/>
      <w:numFmt w:val="bullet"/>
      <w:lvlText w:val=""/>
      <w:lvlJc w:val="left"/>
      <w:pPr>
        <w:ind w:left="1021" w:hanging="341"/>
      </w:pPr>
      <w:rPr>
        <w:rFonts w:ascii="Symbol" w:hAnsi="Symbol" w:hint="default"/>
        <w:color w:val="auto"/>
      </w:rPr>
    </w:lvl>
    <w:lvl w:ilvl="3">
      <w:start w:val="1"/>
      <w:numFmt w:val="none"/>
      <w:lvlText w:val=""/>
      <w:lvlJc w:val="left"/>
      <w:pPr>
        <w:ind w:left="1021" w:firstLine="0"/>
      </w:pPr>
      <w:rPr>
        <w:rFonts w:hint="default"/>
      </w:rPr>
    </w:lvl>
    <w:lvl w:ilvl="4">
      <w:start w:val="1"/>
      <w:numFmt w:val="none"/>
      <w:lvlText w:val=""/>
      <w:lvlJc w:val="left"/>
      <w:pPr>
        <w:ind w:left="1021" w:firstLine="0"/>
      </w:pPr>
      <w:rPr>
        <w:rFonts w:hint="default"/>
      </w:rPr>
    </w:lvl>
    <w:lvl w:ilvl="5">
      <w:start w:val="1"/>
      <w:numFmt w:val="none"/>
      <w:lvlText w:val=""/>
      <w:lvlJc w:val="left"/>
      <w:pPr>
        <w:ind w:left="1021" w:firstLine="0"/>
      </w:pPr>
      <w:rPr>
        <w:rFonts w:hint="default"/>
      </w:rPr>
    </w:lvl>
    <w:lvl w:ilvl="6">
      <w:start w:val="1"/>
      <w:numFmt w:val="none"/>
      <w:lvlText w:val=""/>
      <w:lvlJc w:val="left"/>
      <w:pPr>
        <w:ind w:left="1021" w:firstLine="0"/>
      </w:pPr>
      <w:rPr>
        <w:rFonts w:hint="default"/>
      </w:rPr>
    </w:lvl>
    <w:lvl w:ilvl="7">
      <w:start w:val="1"/>
      <w:numFmt w:val="none"/>
      <w:lvlText w:val=""/>
      <w:lvlJc w:val="left"/>
      <w:pPr>
        <w:ind w:left="1021" w:firstLine="0"/>
      </w:pPr>
      <w:rPr>
        <w:rFonts w:hint="default"/>
      </w:rPr>
    </w:lvl>
    <w:lvl w:ilvl="8">
      <w:start w:val="1"/>
      <w:numFmt w:val="none"/>
      <w:lvlText w:val=""/>
      <w:lvlJc w:val="left"/>
      <w:pPr>
        <w:ind w:left="1021" w:firstLine="0"/>
      </w:pPr>
      <w:rPr>
        <w:rFonts w:hint="default"/>
      </w:rPr>
    </w:lvl>
  </w:abstractNum>
  <w:abstractNum w:abstractNumId="27">
    <w:nsid w:val="308D5B13"/>
    <w:multiLevelType w:val="multilevel"/>
    <w:tmpl w:val="2D22CC94"/>
    <w:numStyleLink w:val="NumbLstBullets"/>
  </w:abstractNum>
  <w:abstractNum w:abstractNumId="28">
    <w:nsid w:val="3E7673FF"/>
    <w:multiLevelType w:val="multilevel"/>
    <w:tmpl w:val="972885CC"/>
    <w:numStyleLink w:val="NumbLstAppendix"/>
  </w:abstractNum>
  <w:abstractNum w:abstractNumId="29">
    <w:nsid w:val="3F502C7D"/>
    <w:multiLevelType w:val="multilevel"/>
    <w:tmpl w:val="2D22CC94"/>
    <w:styleLink w:val="NumbLstBullets"/>
    <w:lvl w:ilvl="0">
      <w:start w:val="1"/>
      <w:numFmt w:val="bullet"/>
      <w:lvlText w:val=""/>
      <w:lvlJc w:val="left"/>
      <w:pPr>
        <w:tabs>
          <w:tab w:val="num" w:pos="1361"/>
        </w:tabs>
        <w:ind w:left="1361" w:hanging="681"/>
      </w:pPr>
      <w:rPr>
        <w:rFonts w:ascii="Symbol" w:hAnsi="Symbol" w:hint="default"/>
        <w:color w:val="497537" w:themeColor="accent3"/>
        <w:sz w:val="22"/>
      </w:rPr>
    </w:lvl>
    <w:lvl w:ilvl="1">
      <w:start w:val="1"/>
      <w:numFmt w:val="bullet"/>
      <w:lvlText w:val=""/>
      <w:lvlJc w:val="left"/>
      <w:pPr>
        <w:tabs>
          <w:tab w:val="num" w:pos="2041"/>
        </w:tabs>
        <w:ind w:left="2041" w:hanging="680"/>
      </w:pPr>
      <w:rPr>
        <w:rFonts w:ascii="Wingdings" w:hAnsi="Wingdings" w:hint="default"/>
        <w:color w:val="CE7628"/>
        <w:sz w:val="14"/>
      </w:rPr>
    </w:lvl>
    <w:lvl w:ilvl="2">
      <w:start w:val="1"/>
      <w:numFmt w:val="none"/>
      <w:suff w:val="nothing"/>
      <w:lvlText w:val=""/>
      <w:lvlJc w:val="left"/>
      <w:pPr>
        <w:ind w:left="1361" w:firstLine="0"/>
      </w:pPr>
      <w:rPr>
        <w:rFonts w:hint="default"/>
      </w:rPr>
    </w:lvl>
    <w:lvl w:ilvl="3">
      <w:start w:val="1"/>
      <w:numFmt w:val="none"/>
      <w:suff w:val="nothing"/>
      <w:lvlText w:val=""/>
      <w:lvlJc w:val="left"/>
      <w:pPr>
        <w:ind w:left="2041" w:firstLine="0"/>
      </w:pPr>
      <w:rPr>
        <w:rFonts w:hint="default"/>
      </w:rPr>
    </w:lvl>
    <w:lvl w:ilvl="4">
      <w:start w:val="1"/>
      <w:numFmt w:val="none"/>
      <w:suff w:val="nothing"/>
      <w:lvlText w:val=""/>
      <w:lvlJc w:val="left"/>
      <w:pPr>
        <w:ind w:left="2041" w:firstLine="0"/>
      </w:pPr>
      <w:rPr>
        <w:rFonts w:hint="default"/>
      </w:rPr>
    </w:lvl>
    <w:lvl w:ilvl="5">
      <w:start w:val="1"/>
      <w:numFmt w:val="none"/>
      <w:suff w:val="nothing"/>
      <w:lvlText w:val=""/>
      <w:lvlJc w:val="left"/>
      <w:pPr>
        <w:ind w:left="2041" w:firstLine="0"/>
      </w:pPr>
      <w:rPr>
        <w:rFonts w:hint="default"/>
      </w:rPr>
    </w:lvl>
    <w:lvl w:ilvl="6">
      <w:start w:val="1"/>
      <w:numFmt w:val="none"/>
      <w:suff w:val="nothing"/>
      <w:lvlText w:val=""/>
      <w:lvlJc w:val="left"/>
      <w:pPr>
        <w:ind w:left="2041" w:firstLine="0"/>
      </w:pPr>
      <w:rPr>
        <w:rFonts w:hint="default"/>
      </w:rPr>
    </w:lvl>
    <w:lvl w:ilvl="7">
      <w:start w:val="1"/>
      <w:numFmt w:val="none"/>
      <w:suff w:val="nothing"/>
      <w:lvlText w:val=""/>
      <w:lvlJc w:val="left"/>
      <w:pPr>
        <w:ind w:left="2041" w:firstLine="0"/>
      </w:pPr>
      <w:rPr>
        <w:rFonts w:hint="default"/>
      </w:rPr>
    </w:lvl>
    <w:lvl w:ilvl="8">
      <w:start w:val="1"/>
      <w:numFmt w:val="none"/>
      <w:suff w:val="nothing"/>
      <w:lvlText w:val=""/>
      <w:lvlJc w:val="left"/>
      <w:pPr>
        <w:ind w:left="2041" w:firstLine="0"/>
      </w:pPr>
      <w:rPr>
        <w:rFonts w:hint="default"/>
      </w:rPr>
    </w:lvl>
  </w:abstractNum>
  <w:abstractNum w:abstractNumId="30">
    <w:nsid w:val="3FC93A03"/>
    <w:multiLevelType w:val="hybridMultilevel"/>
    <w:tmpl w:val="13EC9A0A"/>
    <w:lvl w:ilvl="0" w:tplc="645A5406">
      <w:start w:val="1"/>
      <w:numFmt w:val="bullet"/>
      <w:pStyle w:val="Heading7"/>
      <w:lvlText w:val=""/>
      <w:lvlJc w:val="left"/>
      <w:pPr>
        <w:tabs>
          <w:tab w:val="num" w:pos="1361"/>
        </w:tabs>
        <w:ind w:left="1361" w:hanging="681"/>
      </w:pPr>
      <w:rPr>
        <w:rFonts w:ascii="Symbol" w:hAnsi="Symbol" w:hint="default"/>
        <w:color w:val="6B004B"/>
        <w:sz w:val="22"/>
      </w:rPr>
    </w:lvl>
    <w:lvl w:ilvl="1" w:tplc="9E06DEAC">
      <w:start w:val="1"/>
      <w:numFmt w:val="bullet"/>
      <w:lvlText w:val=""/>
      <w:lvlJc w:val="left"/>
      <w:pPr>
        <w:ind w:left="1440" w:hanging="360"/>
      </w:pPr>
      <w:rPr>
        <w:rFonts w:ascii="Symbol" w:hAnsi="Symbol" w:hint="default"/>
        <w:color w:val="6B004B"/>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C6B7825"/>
    <w:multiLevelType w:val="multilevel"/>
    <w:tmpl w:val="865853C6"/>
    <w:styleLink w:val="NumbLstExecSumm"/>
    <w:lvl w:ilvl="0">
      <w:start w:val="1"/>
      <w:numFmt w:val="decimal"/>
      <w:lvlText w:val="%1."/>
      <w:lvlJc w:val="left"/>
      <w:pPr>
        <w:tabs>
          <w:tab w:val="num" w:pos="680"/>
        </w:tabs>
        <w:ind w:left="680" w:hanging="680"/>
      </w:pPr>
      <w:rPr>
        <w:rFonts w:hint="default"/>
      </w:rPr>
    </w:lvl>
    <w:lvl w:ilvl="1">
      <w:start w:val="1"/>
      <w:numFmt w:val="lowerRoman"/>
      <w:lvlText w:val="%2."/>
      <w:lvlJc w:val="left"/>
      <w:pPr>
        <w:tabs>
          <w:tab w:val="num" w:pos="1021"/>
        </w:tabs>
        <w:ind w:left="1021" w:hanging="341"/>
      </w:pPr>
      <w:rPr>
        <w:rFonts w:hint="default"/>
      </w:rPr>
    </w:lvl>
    <w:lvl w:ilvl="2">
      <w:start w:val="1"/>
      <w:numFmt w:val="bullet"/>
      <w:lvlText w:val=""/>
      <w:lvlJc w:val="left"/>
      <w:pPr>
        <w:tabs>
          <w:tab w:val="num" w:pos="680"/>
        </w:tabs>
        <w:ind w:left="1134" w:hanging="454"/>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504C3838"/>
    <w:multiLevelType w:val="multilevel"/>
    <w:tmpl w:val="024EE126"/>
    <w:styleLink w:val="NumbLstKeyMess"/>
    <w:lvl w:ilvl="0">
      <w:start w:val="1"/>
      <w:numFmt w:val="bullet"/>
      <w:lvlText w:val=""/>
      <w:lvlJc w:val="left"/>
      <w:pPr>
        <w:tabs>
          <w:tab w:val="num" w:pos="567"/>
        </w:tabs>
        <w:ind w:left="567" w:hanging="340"/>
      </w:pPr>
      <w:rPr>
        <w:rFonts w:ascii="Symbol" w:hAnsi="Symbol" w:hint="default"/>
        <w:color w:val="CE7628"/>
      </w:rPr>
    </w:lvl>
    <w:lvl w:ilvl="1">
      <w:start w:val="1"/>
      <w:numFmt w:val="bullet"/>
      <w:lvlText w:val=""/>
      <w:lvlJc w:val="left"/>
      <w:pPr>
        <w:tabs>
          <w:tab w:val="num" w:pos="1077"/>
        </w:tabs>
        <w:ind w:left="1077" w:hanging="340"/>
      </w:pPr>
      <w:rPr>
        <w:rFonts w:ascii="Symbol" w:hAnsi="Symbol" w:hint="default"/>
        <w:color w:val="CE76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54B906DA"/>
    <w:multiLevelType w:val="multilevel"/>
    <w:tmpl w:val="2D22CC94"/>
    <w:numStyleLink w:val="NumbLstBullets"/>
  </w:abstractNum>
  <w:abstractNum w:abstractNumId="34">
    <w:nsid w:val="58684869"/>
    <w:multiLevelType w:val="multilevel"/>
    <w:tmpl w:val="2D22CC94"/>
    <w:numStyleLink w:val="NumbLstBullets"/>
  </w:abstractNum>
  <w:abstractNum w:abstractNumId="35">
    <w:nsid w:val="5BCB4730"/>
    <w:multiLevelType w:val="multilevel"/>
    <w:tmpl w:val="2D22CC94"/>
    <w:numStyleLink w:val="NumbLstBullets"/>
  </w:abstractNum>
  <w:abstractNum w:abstractNumId="36">
    <w:nsid w:val="5D927151"/>
    <w:multiLevelType w:val="hybridMultilevel"/>
    <w:tmpl w:val="005E5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F1151A9"/>
    <w:multiLevelType w:val="multilevel"/>
    <w:tmpl w:val="AAA8A0C4"/>
    <w:styleLink w:val="NumbLstMain"/>
    <w:lvl w:ilvl="0">
      <w:start w:val="1"/>
      <w:numFmt w:val="decimal"/>
      <w:pStyle w:val="Heading1"/>
      <w:lvlText w:val="%1."/>
      <w:lvlJc w:val="left"/>
      <w:pPr>
        <w:tabs>
          <w:tab w:val="num" w:pos="680"/>
        </w:tabs>
        <w:ind w:left="680" w:hanging="680"/>
      </w:pPr>
      <w:rPr>
        <w:rFonts w:ascii="Candara" w:hAnsi="Candara" w:hint="default"/>
        <w:b/>
        <w:i w:val="0"/>
        <w:sz w:val="44"/>
        <w:szCs w:val="44"/>
      </w:rPr>
    </w:lvl>
    <w:lvl w:ilvl="1">
      <w:start w:val="1"/>
      <w:numFmt w:val="none"/>
      <w:suff w:val="nothing"/>
      <w:lvlText w:val=""/>
      <w:lvlJc w:val="left"/>
      <w:pPr>
        <w:ind w:left="680" w:firstLine="0"/>
      </w:pPr>
      <w:rPr>
        <w:rFonts w:hint="default"/>
      </w:rPr>
    </w:lvl>
    <w:lvl w:ilvl="2">
      <w:start w:val="1"/>
      <w:numFmt w:val="none"/>
      <w:suff w:val="nothing"/>
      <w:lvlText w:val=""/>
      <w:lvlJc w:val="left"/>
      <w:pPr>
        <w:ind w:left="680" w:firstLine="0"/>
      </w:pPr>
      <w:rPr>
        <w:rFonts w:hint="default"/>
      </w:rPr>
    </w:lvl>
    <w:lvl w:ilvl="3">
      <w:start w:val="1"/>
      <w:numFmt w:val="none"/>
      <w:lvlRestart w:val="0"/>
      <w:suff w:val="nothing"/>
      <w:lvlText w:val=""/>
      <w:lvlJc w:val="left"/>
      <w:pPr>
        <w:ind w:left="680" w:firstLine="0"/>
      </w:pPr>
      <w:rPr>
        <w:rFonts w:hint="default"/>
      </w:rPr>
    </w:lvl>
    <w:lvl w:ilvl="4">
      <w:start w:val="1"/>
      <w:numFmt w:val="decimal"/>
      <w:lvlRestart w:val="1"/>
      <w:pStyle w:val="Heading5"/>
      <w:lvlText w:val="%1.%5"/>
      <w:lvlJc w:val="left"/>
      <w:pPr>
        <w:tabs>
          <w:tab w:val="num" w:pos="1106"/>
        </w:tabs>
        <w:ind w:left="1106" w:hanging="680"/>
      </w:pPr>
      <w:rPr>
        <w:rFonts w:hint="default"/>
      </w:rPr>
    </w:lvl>
    <w:lvl w:ilvl="5">
      <w:start w:val="1"/>
      <w:numFmt w:val="decimal"/>
      <w:lvlRestart w:val="1"/>
      <w:pStyle w:val="TableTitle"/>
      <w:suff w:val="space"/>
      <w:lvlText w:val="Table %1.%6"/>
      <w:lvlJc w:val="left"/>
      <w:pPr>
        <w:ind w:left="703" w:firstLine="0"/>
      </w:pPr>
      <w:rPr>
        <w:rFonts w:hint="default"/>
        <w:color w:val="auto"/>
      </w:rPr>
    </w:lvl>
    <w:lvl w:ilvl="6">
      <w:start w:val="1"/>
      <w:numFmt w:val="decimal"/>
      <w:lvlRestart w:val="1"/>
      <w:pStyle w:val="FigureTitle"/>
      <w:suff w:val="space"/>
      <w:lvlText w:val="Figure %1.%7"/>
      <w:lvlJc w:val="left"/>
      <w:pPr>
        <w:ind w:left="57" w:firstLine="0"/>
      </w:pPr>
      <w:rPr>
        <w:rFonts w:hint="default"/>
        <w:color w:val="auto"/>
      </w:rPr>
    </w:lvl>
    <w:lvl w:ilvl="7">
      <w:start w:val="1"/>
      <w:numFmt w:val="decimal"/>
      <w:pStyle w:val="Heading8"/>
      <w:lvlText w:val="%8)"/>
      <w:lvlJc w:val="left"/>
      <w:pPr>
        <w:tabs>
          <w:tab w:val="num" w:pos="1361"/>
        </w:tabs>
        <w:ind w:left="1361" w:hanging="681"/>
      </w:pPr>
      <w:rPr>
        <w:rFonts w:hint="default"/>
      </w:rPr>
    </w:lvl>
    <w:lvl w:ilvl="8">
      <w:start w:val="1"/>
      <w:numFmt w:val="none"/>
      <w:pStyle w:val="Heading9"/>
      <w:suff w:val="nothing"/>
      <w:lvlText w:val=""/>
      <w:lvlJc w:val="left"/>
      <w:pPr>
        <w:ind w:left="680" w:firstLine="0"/>
      </w:pPr>
      <w:rPr>
        <w:rFonts w:hint="default"/>
      </w:rPr>
    </w:lvl>
  </w:abstractNum>
  <w:abstractNum w:abstractNumId="38">
    <w:nsid w:val="60980168"/>
    <w:multiLevelType w:val="multilevel"/>
    <w:tmpl w:val="2D22CC94"/>
    <w:numStyleLink w:val="NumbLstBullets"/>
  </w:abstractNum>
  <w:abstractNum w:abstractNumId="39">
    <w:nsid w:val="63BA2F50"/>
    <w:multiLevelType w:val="hybridMultilevel"/>
    <w:tmpl w:val="89C8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24F1ACD"/>
    <w:multiLevelType w:val="multilevel"/>
    <w:tmpl w:val="0602C0AA"/>
    <w:numStyleLink w:val="NumbLstTable"/>
  </w:abstractNum>
  <w:abstractNum w:abstractNumId="41">
    <w:nsid w:val="74FB0966"/>
    <w:multiLevelType w:val="multilevel"/>
    <w:tmpl w:val="AAA8A0C4"/>
    <w:numStyleLink w:val="NumbLstMain"/>
  </w:abstractNum>
  <w:abstractNum w:abstractNumId="42">
    <w:nsid w:val="773C0087"/>
    <w:multiLevelType w:val="multilevel"/>
    <w:tmpl w:val="A65CC16C"/>
    <w:numStyleLink w:val="NumbLstNumb"/>
  </w:abstractNum>
  <w:abstractNum w:abstractNumId="43">
    <w:nsid w:val="77E42572"/>
    <w:multiLevelType w:val="hybridMultilevel"/>
    <w:tmpl w:val="A07EA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B540601"/>
    <w:multiLevelType w:val="hybridMultilevel"/>
    <w:tmpl w:val="04AA3CA0"/>
    <w:lvl w:ilvl="0" w:tplc="9E06DEAC">
      <w:start w:val="1"/>
      <w:numFmt w:val="bullet"/>
      <w:lvlText w:val=""/>
      <w:lvlJc w:val="left"/>
      <w:pPr>
        <w:tabs>
          <w:tab w:val="num" w:pos="1361"/>
        </w:tabs>
        <w:ind w:left="1361" w:hanging="681"/>
      </w:pPr>
      <w:rPr>
        <w:rFonts w:ascii="Symbol" w:hAnsi="Symbol" w:hint="default"/>
        <w:color w:val="6B004B"/>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2"/>
  </w:num>
  <w:num w:numId="12">
    <w:abstractNumId w:val="26"/>
  </w:num>
  <w:num w:numId="13">
    <w:abstractNumId w:val="10"/>
  </w:num>
  <w:num w:numId="14">
    <w:abstractNumId w:val="15"/>
  </w:num>
  <w:num w:numId="15">
    <w:abstractNumId w:val="17"/>
  </w:num>
  <w:num w:numId="16">
    <w:abstractNumId w:val="29"/>
  </w:num>
  <w:num w:numId="17">
    <w:abstractNumId w:val="32"/>
  </w:num>
  <w:num w:numId="18">
    <w:abstractNumId w:val="37"/>
  </w:num>
  <w:num w:numId="19">
    <w:abstractNumId w:val="18"/>
  </w:num>
  <w:num w:numId="20">
    <w:abstractNumId w:val="25"/>
  </w:num>
  <w:num w:numId="21">
    <w:abstractNumId w:val="31"/>
  </w:num>
  <w:num w:numId="22">
    <w:abstractNumId w:val="19"/>
  </w:num>
  <w:num w:numId="23">
    <w:abstractNumId w:val="40"/>
  </w:num>
  <w:num w:numId="24">
    <w:abstractNumId w:val="33"/>
  </w:num>
  <w:num w:numId="25">
    <w:abstractNumId w:val="41"/>
  </w:num>
  <w:num w:numId="26">
    <w:abstractNumId w:val="28"/>
  </w:num>
  <w:num w:numId="27">
    <w:abstractNumId w:val="24"/>
  </w:num>
  <w:num w:numId="28">
    <w:abstractNumId w:val="23"/>
  </w:num>
  <w:num w:numId="29">
    <w:abstractNumId w:val="27"/>
  </w:num>
  <w:num w:numId="30">
    <w:abstractNumId w:val="38"/>
  </w:num>
  <w:num w:numId="31">
    <w:abstractNumId w:val="14"/>
  </w:num>
  <w:num w:numId="32">
    <w:abstractNumId w:val="35"/>
  </w:num>
  <w:num w:numId="33">
    <w:abstractNumId w:val="13"/>
  </w:num>
  <w:num w:numId="34">
    <w:abstractNumId w:val="42"/>
  </w:num>
  <w:num w:numId="35">
    <w:abstractNumId w:val="11"/>
  </w:num>
  <w:num w:numId="36">
    <w:abstractNumId w:val="34"/>
  </w:num>
  <w:num w:numId="37">
    <w:abstractNumId w:val="12"/>
  </w:num>
  <w:num w:numId="38">
    <w:abstractNumId w:val="20"/>
  </w:num>
  <w:num w:numId="39">
    <w:abstractNumId w:val="44"/>
  </w:num>
  <w:num w:numId="40">
    <w:abstractNumId w:val="30"/>
  </w:num>
  <w:num w:numId="41">
    <w:abstractNumId w:val="39"/>
  </w:num>
  <w:num w:numId="42">
    <w:abstractNumId w:val="36"/>
  </w:num>
  <w:num w:numId="43">
    <w:abstractNumId w:val="16"/>
  </w:num>
  <w:num w:numId="44">
    <w:abstractNumId w:val="30"/>
  </w:num>
  <w:num w:numId="45">
    <w:abstractNumId w:val="21"/>
  </w:num>
  <w:num w:numId="46">
    <w:abstractNumId w:val="4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68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ear" w:val="Name"/>
    <w:docVar w:name="DocClientName" w:val="&lt;DocClientName&gt;"/>
    <w:docVar w:name="DocDate" w:val="&lt;DocDate&gt;"/>
    <w:docVar w:name="DocTitle" w:val="&lt;DocTitle&gt;"/>
    <w:docVar w:name="DocType" w:val="&lt;DocType&gt;"/>
    <w:docVar w:name="ExecSummPage" w:val="TRUE"/>
    <w:docVar w:name="FooterDocNo" w:val="Regeneris Report.dotm"/>
    <w:docVar w:name="FooterPandC" w:val=" "/>
    <w:docVar w:name="FooterText" w:val="&lt;FooterText&gt;"/>
    <w:docVar w:name="HeaderText" w:val="&lt;HeaderText&gt;"/>
    <w:docVar w:name="Subject" w:val="Subject: Optional subject"/>
  </w:docVars>
  <w:rsids>
    <w:rsidRoot w:val="00647137"/>
    <w:rsid w:val="00000D1F"/>
    <w:rsid w:val="0000196D"/>
    <w:rsid w:val="00005917"/>
    <w:rsid w:val="00007B3C"/>
    <w:rsid w:val="000104AD"/>
    <w:rsid w:val="00010B5A"/>
    <w:rsid w:val="00012468"/>
    <w:rsid w:val="000136DF"/>
    <w:rsid w:val="00014058"/>
    <w:rsid w:val="00014165"/>
    <w:rsid w:val="00015954"/>
    <w:rsid w:val="00015B7E"/>
    <w:rsid w:val="000177A3"/>
    <w:rsid w:val="00017A45"/>
    <w:rsid w:val="00024798"/>
    <w:rsid w:val="000251D2"/>
    <w:rsid w:val="00031CB8"/>
    <w:rsid w:val="0003786F"/>
    <w:rsid w:val="00040A34"/>
    <w:rsid w:val="000434E4"/>
    <w:rsid w:val="00044547"/>
    <w:rsid w:val="00064868"/>
    <w:rsid w:val="00070A24"/>
    <w:rsid w:val="000715BE"/>
    <w:rsid w:val="00074445"/>
    <w:rsid w:val="000765AA"/>
    <w:rsid w:val="000770FE"/>
    <w:rsid w:val="00080669"/>
    <w:rsid w:val="00081322"/>
    <w:rsid w:val="00081FBF"/>
    <w:rsid w:val="000842FD"/>
    <w:rsid w:val="00084EB4"/>
    <w:rsid w:val="000864FD"/>
    <w:rsid w:val="00092A52"/>
    <w:rsid w:val="00093813"/>
    <w:rsid w:val="00095443"/>
    <w:rsid w:val="0009652C"/>
    <w:rsid w:val="000A0127"/>
    <w:rsid w:val="000A146F"/>
    <w:rsid w:val="000A2192"/>
    <w:rsid w:val="000A27A0"/>
    <w:rsid w:val="000A6EFD"/>
    <w:rsid w:val="000A7540"/>
    <w:rsid w:val="000B5841"/>
    <w:rsid w:val="000C12C7"/>
    <w:rsid w:val="000C4209"/>
    <w:rsid w:val="000E1718"/>
    <w:rsid w:val="000E5A55"/>
    <w:rsid w:val="000E5E9A"/>
    <w:rsid w:val="000E5EF8"/>
    <w:rsid w:val="000E6D6B"/>
    <w:rsid w:val="000E7690"/>
    <w:rsid w:val="000E7AFA"/>
    <w:rsid w:val="000F1252"/>
    <w:rsid w:val="000F17FA"/>
    <w:rsid w:val="000F47C1"/>
    <w:rsid w:val="00100327"/>
    <w:rsid w:val="001015E8"/>
    <w:rsid w:val="0010516D"/>
    <w:rsid w:val="00112F82"/>
    <w:rsid w:val="00114D1B"/>
    <w:rsid w:val="00117B2D"/>
    <w:rsid w:val="0012331F"/>
    <w:rsid w:val="00124485"/>
    <w:rsid w:val="00126111"/>
    <w:rsid w:val="001301F5"/>
    <w:rsid w:val="0013388D"/>
    <w:rsid w:val="001353CC"/>
    <w:rsid w:val="001461CD"/>
    <w:rsid w:val="00147125"/>
    <w:rsid w:val="0014754C"/>
    <w:rsid w:val="00156871"/>
    <w:rsid w:val="00167E72"/>
    <w:rsid w:val="00177D28"/>
    <w:rsid w:val="00180918"/>
    <w:rsid w:val="00185BF3"/>
    <w:rsid w:val="00186353"/>
    <w:rsid w:val="001951D2"/>
    <w:rsid w:val="001A266B"/>
    <w:rsid w:val="001A504A"/>
    <w:rsid w:val="001A5951"/>
    <w:rsid w:val="001A5992"/>
    <w:rsid w:val="001A5B5B"/>
    <w:rsid w:val="001A64F6"/>
    <w:rsid w:val="001B0A9F"/>
    <w:rsid w:val="001B2E10"/>
    <w:rsid w:val="001B4259"/>
    <w:rsid w:val="001B5FA6"/>
    <w:rsid w:val="001B7871"/>
    <w:rsid w:val="001C4346"/>
    <w:rsid w:val="001C50D4"/>
    <w:rsid w:val="001E2D90"/>
    <w:rsid w:val="001E3664"/>
    <w:rsid w:val="001E4627"/>
    <w:rsid w:val="001E6D6D"/>
    <w:rsid w:val="001E794C"/>
    <w:rsid w:val="001F25B4"/>
    <w:rsid w:val="001F5C72"/>
    <w:rsid w:val="001F74A3"/>
    <w:rsid w:val="0020160E"/>
    <w:rsid w:val="00203FA7"/>
    <w:rsid w:val="002056BB"/>
    <w:rsid w:val="002109AE"/>
    <w:rsid w:val="00211068"/>
    <w:rsid w:val="00211E42"/>
    <w:rsid w:val="002151C3"/>
    <w:rsid w:val="002159E2"/>
    <w:rsid w:val="0021646E"/>
    <w:rsid w:val="0022054E"/>
    <w:rsid w:val="00221125"/>
    <w:rsid w:val="0022395E"/>
    <w:rsid w:val="0022462B"/>
    <w:rsid w:val="00232903"/>
    <w:rsid w:val="002338C0"/>
    <w:rsid w:val="002346F4"/>
    <w:rsid w:val="00240D6A"/>
    <w:rsid w:val="00243ECB"/>
    <w:rsid w:val="00244035"/>
    <w:rsid w:val="002472E2"/>
    <w:rsid w:val="00251FFD"/>
    <w:rsid w:val="002525D6"/>
    <w:rsid w:val="00253BE3"/>
    <w:rsid w:val="00256652"/>
    <w:rsid w:val="00257AB9"/>
    <w:rsid w:val="002647D6"/>
    <w:rsid w:val="00267114"/>
    <w:rsid w:val="00271EB6"/>
    <w:rsid w:val="002727CE"/>
    <w:rsid w:val="00272A86"/>
    <w:rsid w:val="0027630B"/>
    <w:rsid w:val="00281AED"/>
    <w:rsid w:val="00281B71"/>
    <w:rsid w:val="00281CE4"/>
    <w:rsid w:val="00282122"/>
    <w:rsid w:val="00283CD8"/>
    <w:rsid w:val="00284A93"/>
    <w:rsid w:val="00285B44"/>
    <w:rsid w:val="00286173"/>
    <w:rsid w:val="0029068F"/>
    <w:rsid w:val="00294F39"/>
    <w:rsid w:val="0029759F"/>
    <w:rsid w:val="002A1AF6"/>
    <w:rsid w:val="002A2FA8"/>
    <w:rsid w:val="002A71C9"/>
    <w:rsid w:val="002B34EA"/>
    <w:rsid w:val="002B3AC8"/>
    <w:rsid w:val="002B4265"/>
    <w:rsid w:val="002C1B22"/>
    <w:rsid w:val="002D0531"/>
    <w:rsid w:val="002D2D20"/>
    <w:rsid w:val="002D5C42"/>
    <w:rsid w:val="002E042B"/>
    <w:rsid w:val="002E19DE"/>
    <w:rsid w:val="002E3195"/>
    <w:rsid w:val="002F3D7C"/>
    <w:rsid w:val="00303255"/>
    <w:rsid w:val="0031057F"/>
    <w:rsid w:val="00312EDD"/>
    <w:rsid w:val="00316C23"/>
    <w:rsid w:val="00316D38"/>
    <w:rsid w:val="0032523B"/>
    <w:rsid w:val="00334477"/>
    <w:rsid w:val="00336730"/>
    <w:rsid w:val="00336A58"/>
    <w:rsid w:val="00337016"/>
    <w:rsid w:val="00340897"/>
    <w:rsid w:val="003424DC"/>
    <w:rsid w:val="003436ED"/>
    <w:rsid w:val="00351751"/>
    <w:rsid w:val="00354AB2"/>
    <w:rsid w:val="00355670"/>
    <w:rsid w:val="00361663"/>
    <w:rsid w:val="00362223"/>
    <w:rsid w:val="00362771"/>
    <w:rsid w:val="00362AE3"/>
    <w:rsid w:val="003632C0"/>
    <w:rsid w:val="00363BAE"/>
    <w:rsid w:val="00365395"/>
    <w:rsid w:val="0036567A"/>
    <w:rsid w:val="003739F6"/>
    <w:rsid w:val="00374F27"/>
    <w:rsid w:val="00377919"/>
    <w:rsid w:val="00380549"/>
    <w:rsid w:val="003816A0"/>
    <w:rsid w:val="00382185"/>
    <w:rsid w:val="00387DC7"/>
    <w:rsid w:val="0039633A"/>
    <w:rsid w:val="003A22EC"/>
    <w:rsid w:val="003A49AB"/>
    <w:rsid w:val="003A5576"/>
    <w:rsid w:val="003A5AF3"/>
    <w:rsid w:val="003B5E90"/>
    <w:rsid w:val="003C262B"/>
    <w:rsid w:val="003D33E4"/>
    <w:rsid w:val="003E217D"/>
    <w:rsid w:val="003E3336"/>
    <w:rsid w:val="003E3462"/>
    <w:rsid w:val="003E73CD"/>
    <w:rsid w:val="003E752F"/>
    <w:rsid w:val="003F0CB1"/>
    <w:rsid w:val="003F126F"/>
    <w:rsid w:val="003F3163"/>
    <w:rsid w:val="003F31FB"/>
    <w:rsid w:val="003F6F43"/>
    <w:rsid w:val="00400899"/>
    <w:rsid w:val="00402F3E"/>
    <w:rsid w:val="00404D92"/>
    <w:rsid w:val="00410E9D"/>
    <w:rsid w:val="004259B9"/>
    <w:rsid w:val="00425CD6"/>
    <w:rsid w:val="004275E8"/>
    <w:rsid w:val="004279AB"/>
    <w:rsid w:val="00427A54"/>
    <w:rsid w:val="00430CF2"/>
    <w:rsid w:val="004330F8"/>
    <w:rsid w:val="004347CE"/>
    <w:rsid w:val="00435BBC"/>
    <w:rsid w:val="00436254"/>
    <w:rsid w:val="00436A20"/>
    <w:rsid w:val="00442A8C"/>
    <w:rsid w:val="0044474A"/>
    <w:rsid w:val="0044761E"/>
    <w:rsid w:val="00450E0F"/>
    <w:rsid w:val="00452048"/>
    <w:rsid w:val="004535ED"/>
    <w:rsid w:val="00454286"/>
    <w:rsid w:val="00454628"/>
    <w:rsid w:val="00461970"/>
    <w:rsid w:val="00462552"/>
    <w:rsid w:val="004627A4"/>
    <w:rsid w:val="00462B80"/>
    <w:rsid w:val="0046569B"/>
    <w:rsid w:val="00465EE5"/>
    <w:rsid w:val="004661FD"/>
    <w:rsid w:val="00467574"/>
    <w:rsid w:val="0047011A"/>
    <w:rsid w:val="00474824"/>
    <w:rsid w:val="00474DE9"/>
    <w:rsid w:val="004757D3"/>
    <w:rsid w:val="00477C15"/>
    <w:rsid w:val="00480032"/>
    <w:rsid w:val="00480947"/>
    <w:rsid w:val="00483EC6"/>
    <w:rsid w:val="00490D28"/>
    <w:rsid w:val="00491CEB"/>
    <w:rsid w:val="004A07CD"/>
    <w:rsid w:val="004A3E5A"/>
    <w:rsid w:val="004A53FD"/>
    <w:rsid w:val="004B19F6"/>
    <w:rsid w:val="004B7A64"/>
    <w:rsid w:val="004B7B3D"/>
    <w:rsid w:val="004C2D50"/>
    <w:rsid w:val="004C564C"/>
    <w:rsid w:val="004C584F"/>
    <w:rsid w:val="004D06CF"/>
    <w:rsid w:val="004D56DA"/>
    <w:rsid w:val="004D7B92"/>
    <w:rsid w:val="004F04F5"/>
    <w:rsid w:val="004F1BEA"/>
    <w:rsid w:val="004F521E"/>
    <w:rsid w:val="004F6916"/>
    <w:rsid w:val="00500634"/>
    <w:rsid w:val="005011AF"/>
    <w:rsid w:val="00505EB4"/>
    <w:rsid w:val="00520DBA"/>
    <w:rsid w:val="00520ECA"/>
    <w:rsid w:val="00523C6B"/>
    <w:rsid w:val="0053046B"/>
    <w:rsid w:val="00533176"/>
    <w:rsid w:val="005336D8"/>
    <w:rsid w:val="005349FF"/>
    <w:rsid w:val="005412E4"/>
    <w:rsid w:val="00543F62"/>
    <w:rsid w:val="00543FA6"/>
    <w:rsid w:val="00550EDA"/>
    <w:rsid w:val="00556E68"/>
    <w:rsid w:val="0055733E"/>
    <w:rsid w:val="00561AEE"/>
    <w:rsid w:val="00564C32"/>
    <w:rsid w:val="00565A18"/>
    <w:rsid w:val="0057108A"/>
    <w:rsid w:val="00571605"/>
    <w:rsid w:val="00571DB8"/>
    <w:rsid w:val="00574CAE"/>
    <w:rsid w:val="00582188"/>
    <w:rsid w:val="005840E9"/>
    <w:rsid w:val="00587711"/>
    <w:rsid w:val="00587A2B"/>
    <w:rsid w:val="00591E7F"/>
    <w:rsid w:val="00593CEE"/>
    <w:rsid w:val="00595411"/>
    <w:rsid w:val="00597A2B"/>
    <w:rsid w:val="005A1BA9"/>
    <w:rsid w:val="005A5795"/>
    <w:rsid w:val="005A5EBA"/>
    <w:rsid w:val="005B293D"/>
    <w:rsid w:val="005B3562"/>
    <w:rsid w:val="005B3DB0"/>
    <w:rsid w:val="005B7728"/>
    <w:rsid w:val="005B7DC0"/>
    <w:rsid w:val="005C68EF"/>
    <w:rsid w:val="005C6B6E"/>
    <w:rsid w:val="005C6E92"/>
    <w:rsid w:val="005D3C83"/>
    <w:rsid w:val="005D7288"/>
    <w:rsid w:val="005E3930"/>
    <w:rsid w:val="005E3C40"/>
    <w:rsid w:val="005E3D35"/>
    <w:rsid w:val="005F1753"/>
    <w:rsid w:val="005F1FAD"/>
    <w:rsid w:val="005F21BD"/>
    <w:rsid w:val="005F53CF"/>
    <w:rsid w:val="005F69F7"/>
    <w:rsid w:val="00601D5C"/>
    <w:rsid w:val="00603430"/>
    <w:rsid w:val="00606189"/>
    <w:rsid w:val="00610BE0"/>
    <w:rsid w:val="00614088"/>
    <w:rsid w:val="00615FE2"/>
    <w:rsid w:val="00617203"/>
    <w:rsid w:val="0062209C"/>
    <w:rsid w:val="0062520C"/>
    <w:rsid w:val="00634B43"/>
    <w:rsid w:val="0063594C"/>
    <w:rsid w:val="006374A8"/>
    <w:rsid w:val="00637538"/>
    <w:rsid w:val="006377C7"/>
    <w:rsid w:val="00642410"/>
    <w:rsid w:val="00642861"/>
    <w:rsid w:val="006454E1"/>
    <w:rsid w:val="00646536"/>
    <w:rsid w:val="00647137"/>
    <w:rsid w:val="0065226F"/>
    <w:rsid w:val="006606E2"/>
    <w:rsid w:val="00660D08"/>
    <w:rsid w:val="00663A0E"/>
    <w:rsid w:val="006643BE"/>
    <w:rsid w:val="00664649"/>
    <w:rsid w:val="006650AB"/>
    <w:rsid w:val="0066589C"/>
    <w:rsid w:val="0067266A"/>
    <w:rsid w:val="0067330D"/>
    <w:rsid w:val="00675AD2"/>
    <w:rsid w:val="00676C0B"/>
    <w:rsid w:val="006803BC"/>
    <w:rsid w:val="00685A89"/>
    <w:rsid w:val="0068769E"/>
    <w:rsid w:val="0069152C"/>
    <w:rsid w:val="0069380B"/>
    <w:rsid w:val="006944C8"/>
    <w:rsid w:val="006950C0"/>
    <w:rsid w:val="00695EAD"/>
    <w:rsid w:val="006A78E0"/>
    <w:rsid w:val="006B34EB"/>
    <w:rsid w:val="006B5418"/>
    <w:rsid w:val="006D1609"/>
    <w:rsid w:val="006D4A8C"/>
    <w:rsid w:val="006D53F7"/>
    <w:rsid w:val="006D6E50"/>
    <w:rsid w:val="006E0CFD"/>
    <w:rsid w:val="006E3E48"/>
    <w:rsid w:val="006E7F14"/>
    <w:rsid w:val="006F139F"/>
    <w:rsid w:val="006F27A3"/>
    <w:rsid w:val="006F2D46"/>
    <w:rsid w:val="006F2F9C"/>
    <w:rsid w:val="006F3021"/>
    <w:rsid w:val="006F3605"/>
    <w:rsid w:val="006F3BD0"/>
    <w:rsid w:val="006F68E0"/>
    <w:rsid w:val="007051FA"/>
    <w:rsid w:val="00711201"/>
    <w:rsid w:val="00711891"/>
    <w:rsid w:val="007128DE"/>
    <w:rsid w:val="007323F2"/>
    <w:rsid w:val="00732EC9"/>
    <w:rsid w:val="00733004"/>
    <w:rsid w:val="0073709E"/>
    <w:rsid w:val="007374E4"/>
    <w:rsid w:val="0073796F"/>
    <w:rsid w:val="00740FF0"/>
    <w:rsid w:val="007445BC"/>
    <w:rsid w:val="00744647"/>
    <w:rsid w:val="00745912"/>
    <w:rsid w:val="00747C77"/>
    <w:rsid w:val="00751901"/>
    <w:rsid w:val="007519D5"/>
    <w:rsid w:val="00754639"/>
    <w:rsid w:val="00757CBB"/>
    <w:rsid w:val="007642BF"/>
    <w:rsid w:val="007700C1"/>
    <w:rsid w:val="00770C8D"/>
    <w:rsid w:val="0077312E"/>
    <w:rsid w:val="00774231"/>
    <w:rsid w:val="0078326A"/>
    <w:rsid w:val="00787822"/>
    <w:rsid w:val="0079507D"/>
    <w:rsid w:val="00797AB2"/>
    <w:rsid w:val="007A3878"/>
    <w:rsid w:val="007B13C4"/>
    <w:rsid w:val="007B4C69"/>
    <w:rsid w:val="007B591C"/>
    <w:rsid w:val="007B66B3"/>
    <w:rsid w:val="007B6EA7"/>
    <w:rsid w:val="007B6FCC"/>
    <w:rsid w:val="007C116A"/>
    <w:rsid w:val="007C25D1"/>
    <w:rsid w:val="007C5E18"/>
    <w:rsid w:val="007D12C1"/>
    <w:rsid w:val="007D40E3"/>
    <w:rsid w:val="007D6B63"/>
    <w:rsid w:val="007D6C4E"/>
    <w:rsid w:val="007E4343"/>
    <w:rsid w:val="007E47D8"/>
    <w:rsid w:val="007E54E6"/>
    <w:rsid w:val="007F1F41"/>
    <w:rsid w:val="007F6DEE"/>
    <w:rsid w:val="00806387"/>
    <w:rsid w:val="0081298A"/>
    <w:rsid w:val="00814EC6"/>
    <w:rsid w:val="008165F3"/>
    <w:rsid w:val="00821632"/>
    <w:rsid w:val="00822356"/>
    <w:rsid w:val="008223E3"/>
    <w:rsid w:val="00822ABF"/>
    <w:rsid w:val="00822B6A"/>
    <w:rsid w:val="0082362D"/>
    <w:rsid w:val="00825648"/>
    <w:rsid w:val="00825ED4"/>
    <w:rsid w:val="00830E84"/>
    <w:rsid w:val="00832BC0"/>
    <w:rsid w:val="008343B0"/>
    <w:rsid w:val="00834B08"/>
    <w:rsid w:val="00840060"/>
    <w:rsid w:val="0084147C"/>
    <w:rsid w:val="0084287D"/>
    <w:rsid w:val="0084351B"/>
    <w:rsid w:val="00843E65"/>
    <w:rsid w:val="00844DF6"/>
    <w:rsid w:val="00845269"/>
    <w:rsid w:val="00847276"/>
    <w:rsid w:val="00852BFF"/>
    <w:rsid w:val="008535DA"/>
    <w:rsid w:val="008544E2"/>
    <w:rsid w:val="008552F5"/>
    <w:rsid w:val="008564EC"/>
    <w:rsid w:val="00856FF7"/>
    <w:rsid w:val="00861495"/>
    <w:rsid w:val="008617DE"/>
    <w:rsid w:val="00861F8E"/>
    <w:rsid w:val="00862867"/>
    <w:rsid w:val="0086286D"/>
    <w:rsid w:val="0086535A"/>
    <w:rsid w:val="008700FC"/>
    <w:rsid w:val="00873DC3"/>
    <w:rsid w:val="008773A0"/>
    <w:rsid w:val="0088121C"/>
    <w:rsid w:val="00882895"/>
    <w:rsid w:val="00884981"/>
    <w:rsid w:val="00885B83"/>
    <w:rsid w:val="008863FA"/>
    <w:rsid w:val="00887DE0"/>
    <w:rsid w:val="00890C54"/>
    <w:rsid w:val="0089330D"/>
    <w:rsid w:val="00895934"/>
    <w:rsid w:val="00897E36"/>
    <w:rsid w:val="008A0B27"/>
    <w:rsid w:val="008A71F1"/>
    <w:rsid w:val="008B170E"/>
    <w:rsid w:val="008B3058"/>
    <w:rsid w:val="008B3341"/>
    <w:rsid w:val="008B42CD"/>
    <w:rsid w:val="008B5470"/>
    <w:rsid w:val="008B5F5A"/>
    <w:rsid w:val="008C2D0B"/>
    <w:rsid w:val="008C6A97"/>
    <w:rsid w:val="008D1409"/>
    <w:rsid w:val="008D32AB"/>
    <w:rsid w:val="008D458C"/>
    <w:rsid w:val="008D553B"/>
    <w:rsid w:val="008E380F"/>
    <w:rsid w:val="008E5C1D"/>
    <w:rsid w:val="008E7407"/>
    <w:rsid w:val="008F00DB"/>
    <w:rsid w:val="008F04AA"/>
    <w:rsid w:val="008F0F48"/>
    <w:rsid w:val="008F636C"/>
    <w:rsid w:val="008F754B"/>
    <w:rsid w:val="00902226"/>
    <w:rsid w:val="0090340E"/>
    <w:rsid w:val="009044DE"/>
    <w:rsid w:val="0090481E"/>
    <w:rsid w:val="00914D3A"/>
    <w:rsid w:val="00915E4A"/>
    <w:rsid w:val="009205A6"/>
    <w:rsid w:val="00921B2F"/>
    <w:rsid w:val="00924DC1"/>
    <w:rsid w:val="00930DE7"/>
    <w:rsid w:val="00934063"/>
    <w:rsid w:val="00935D50"/>
    <w:rsid w:val="009365B8"/>
    <w:rsid w:val="009414A0"/>
    <w:rsid w:val="00944561"/>
    <w:rsid w:val="00945B25"/>
    <w:rsid w:val="0095153B"/>
    <w:rsid w:val="009515D5"/>
    <w:rsid w:val="00952843"/>
    <w:rsid w:val="0095448E"/>
    <w:rsid w:val="009578C6"/>
    <w:rsid w:val="009609A2"/>
    <w:rsid w:val="00961A45"/>
    <w:rsid w:val="009662EB"/>
    <w:rsid w:val="009663AF"/>
    <w:rsid w:val="00974C8E"/>
    <w:rsid w:val="00983F9C"/>
    <w:rsid w:val="00987A1A"/>
    <w:rsid w:val="009923CC"/>
    <w:rsid w:val="0099514F"/>
    <w:rsid w:val="00995D8B"/>
    <w:rsid w:val="009A1FF8"/>
    <w:rsid w:val="009A2867"/>
    <w:rsid w:val="009A30B6"/>
    <w:rsid w:val="009A32C0"/>
    <w:rsid w:val="009A7080"/>
    <w:rsid w:val="009B2BAA"/>
    <w:rsid w:val="009B2CA8"/>
    <w:rsid w:val="009C0726"/>
    <w:rsid w:val="009C0FF5"/>
    <w:rsid w:val="009C1A87"/>
    <w:rsid w:val="009C364D"/>
    <w:rsid w:val="009C57AC"/>
    <w:rsid w:val="009C7A5C"/>
    <w:rsid w:val="009E5912"/>
    <w:rsid w:val="009F541A"/>
    <w:rsid w:val="00A0356C"/>
    <w:rsid w:val="00A05528"/>
    <w:rsid w:val="00A11CA9"/>
    <w:rsid w:val="00A12D1B"/>
    <w:rsid w:val="00A2379E"/>
    <w:rsid w:val="00A23825"/>
    <w:rsid w:val="00A27755"/>
    <w:rsid w:val="00A27835"/>
    <w:rsid w:val="00A3508B"/>
    <w:rsid w:val="00A35746"/>
    <w:rsid w:val="00A407C7"/>
    <w:rsid w:val="00A40F64"/>
    <w:rsid w:val="00A44CEF"/>
    <w:rsid w:val="00A46A2A"/>
    <w:rsid w:val="00A47FF4"/>
    <w:rsid w:val="00A50D95"/>
    <w:rsid w:val="00A5367E"/>
    <w:rsid w:val="00A56685"/>
    <w:rsid w:val="00A574B2"/>
    <w:rsid w:val="00A606FC"/>
    <w:rsid w:val="00A60A85"/>
    <w:rsid w:val="00A63A44"/>
    <w:rsid w:val="00A63DB2"/>
    <w:rsid w:val="00A7009A"/>
    <w:rsid w:val="00A73884"/>
    <w:rsid w:val="00A74892"/>
    <w:rsid w:val="00A8242C"/>
    <w:rsid w:val="00A84AD5"/>
    <w:rsid w:val="00A86EF0"/>
    <w:rsid w:val="00A935C9"/>
    <w:rsid w:val="00A93715"/>
    <w:rsid w:val="00AA3892"/>
    <w:rsid w:val="00AB15BA"/>
    <w:rsid w:val="00AB7499"/>
    <w:rsid w:val="00AC1D46"/>
    <w:rsid w:val="00AC2227"/>
    <w:rsid w:val="00AC3280"/>
    <w:rsid w:val="00AC4A82"/>
    <w:rsid w:val="00AC59F3"/>
    <w:rsid w:val="00AC5BE0"/>
    <w:rsid w:val="00AD5EA6"/>
    <w:rsid w:val="00AD66D4"/>
    <w:rsid w:val="00AE048D"/>
    <w:rsid w:val="00AE365C"/>
    <w:rsid w:val="00AE74C1"/>
    <w:rsid w:val="00AF26D5"/>
    <w:rsid w:val="00AF2717"/>
    <w:rsid w:val="00AF2E3B"/>
    <w:rsid w:val="00AF63D2"/>
    <w:rsid w:val="00AF7A65"/>
    <w:rsid w:val="00B00679"/>
    <w:rsid w:val="00B00947"/>
    <w:rsid w:val="00B0337C"/>
    <w:rsid w:val="00B04B7D"/>
    <w:rsid w:val="00B05345"/>
    <w:rsid w:val="00B0706C"/>
    <w:rsid w:val="00B12C6C"/>
    <w:rsid w:val="00B1345F"/>
    <w:rsid w:val="00B1628F"/>
    <w:rsid w:val="00B164FD"/>
    <w:rsid w:val="00B16C26"/>
    <w:rsid w:val="00B200AF"/>
    <w:rsid w:val="00B20FC5"/>
    <w:rsid w:val="00B229AF"/>
    <w:rsid w:val="00B244B3"/>
    <w:rsid w:val="00B25682"/>
    <w:rsid w:val="00B25FD6"/>
    <w:rsid w:val="00B262EC"/>
    <w:rsid w:val="00B3138E"/>
    <w:rsid w:val="00B36C59"/>
    <w:rsid w:val="00B40EB8"/>
    <w:rsid w:val="00B42ACF"/>
    <w:rsid w:val="00B502B7"/>
    <w:rsid w:val="00B527F7"/>
    <w:rsid w:val="00B5314A"/>
    <w:rsid w:val="00B53E6A"/>
    <w:rsid w:val="00B553BE"/>
    <w:rsid w:val="00B57B41"/>
    <w:rsid w:val="00B57EE7"/>
    <w:rsid w:val="00B623D7"/>
    <w:rsid w:val="00B64A5D"/>
    <w:rsid w:val="00B733F3"/>
    <w:rsid w:val="00B744A1"/>
    <w:rsid w:val="00B75D55"/>
    <w:rsid w:val="00B75DB4"/>
    <w:rsid w:val="00B7702D"/>
    <w:rsid w:val="00B805F3"/>
    <w:rsid w:val="00B80981"/>
    <w:rsid w:val="00B81428"/>
    <w:rsid w:val="00B82745"/>
    <w:rsid w:val="00B839D8"/>
    <w:rsid w:val="00B83C97"/>
    <w:rsid w:val="00B85EAA"/>
    <w:rsid w:val="00B86D60"/>
    <w:rsid w:val="00B95118"/>
    <w:rsid w:val="00BA05EE"/>
    <w:rsid w:val="00BA06BD"/>
    <w:rsid w:val="00BA30CB"/>
    <w:rsid w:val="00BA5417"/>
    <w:rsid w:val="00BA633D"/>
    <w:rsid w:val="00BA6D3D"/>
    <w:rsid w:val="00BA7D27"/>
    <w:rsid w:val="00BB28FE"/>
    <w:rsid w:val="00BB2AFA"/>
    <w:rsid w:val="00BB40D5"/>
    <w:rsid w:val="00BB7AFB"/>
    <w:rsid w:val="00BB7BEF"/>
    <w:rsid w:val="00BC1171"/>
    <w:rsid w:val="00BC457A"/>
    <w:rsid w:val="00BC62DB"/>
    <w:rsid w:val="00BD3C48"/>
    <w:rsid w:val="00BE28F3"/>
    <w:rsid w:val="00BE356B"/>
    <w:rsid w:val="00BE4D2E"/>
    <w:rsid w:val="00BF11DC"/>
    <w:rsid w:val="00BF3E9B"/>
    <w:rsid w:val="00BF5452"/>
    <w:rsid w:val="00BF6EB9"/>
    <w:rsid w:val="00C040F9"/>
    <w:rsid w:val="00C14ECB"/>
    <w:rsid w:val="00C16C47"/>
    <w:rsid w:val="00C2348C"/>
    <w:rsid w:val="00C24BA4"/>
    <w:rsid w:val="00C258E1"/>
    <w:rsid w:val="00C27313"/>
    <w:rsid w:val="00C27E62"/>
    <w:rsid w:val="00C30E14"/>
    <w:rsid w:val="00C37DAD"/>
    <w:rsid w:val="00C44861"/>
    <w:rsid w:val="00C46833"/>
    <w:rsid w:val="00C46D1B"/>
    <w:rsid w:val="00C542C1"/>
    <w:rsid w:val="00C56862"/>
    <w:rsid w:val="00C61B54"/>
    <w:rsid w:val="00C624D0"/>
    <w:rsid w:val="00C62B49"/>
    <w:rsid w:val="00C75F13"/>
    <w:rsid w:val="00C8008A"/>
    <w:rsid w:val="00C840A1"/>
    <w:rsid w:val="00C85184"/>
    <w:rsid w:val="00C86B81"/>
    <w:rsid w:val="00C90D6C"/>
    <w:rsid w:val="00C926F9"/>
    <w:rsid w:val="00C96AE0"/>
    <w:rsid w:val="00CA2796"/>
    <w:rsid w:val="00CA596D"/>
    <w:rsid w:val="00CB2551"/>
    <w:rsid w:val="00CC134E"/>
    <w:rsid w:val="00CC2AB6"/>
    <w:rsid w:val="00CC3BC7"/>
    <w:rsid w:val="00CC46DB"/>
    <w:rsid w:val="00CC511C"/>
    <w:rsid w:val="00CC5F69"/>
    <w:rsid w:val="00CC65A3"/>
    <w:rsid w:val="00CD01AF"/>
    <w:rsid w:val="00CD1FF3"/>
    <w:rsid w:val="00CD2E2C"/>
    <w:rsid w:val="00CE064B"/>
    <w:rsid w:val="00CE0E61"/>
    <w:rsid w:val="00CE0EEE"/>
    <w:rsid w:val="00CE14EB"/>
    <w:rsid w:val="00CE1FF7"/>
    <w:rsid w:val="00CE25BC"/>
    <w:rsid w:val="00CE3713"/>
    <w:rsid w:val="00CE4B04"/>
    <w:rsid w:val="00CE6CE9"/>
    <w:rsid w:val="00CF1166"/>
    <w:rsid w:val="00CF1ABC"/>
    <w:rsid w:val="00CF2C58"/>
    <w:rsid w:val="00CF6C7E"/>
    <w:rsid w:val="00CF6EB7"/>
    <w:rsid w:val="00CF6F22"/>
    <w:rsid w:val="00D00187"/>
    <w:rsid w:val="00D003A6"/>
    <w:rsid w:val="00D031EB"/>
    <w:rsid w:val="00D0479B"/>
    <w:rsid w:val="00D14977"/>
    <w:rsid w:val="00D16FD7"/>
    <w:rsid w:val="00D17033"/>
    <w:rsid w:val="00D20711"/>
    <w:rsid w:val="00D254E3"/>
    <w:rsid w:val="00D307AD"/>
    <w:rsid w:val="00D33CD6"/>
    <w:rsid w:val="00D3629B"/>
    <w:rsid w:val="00D43B5B"/>
    <w:rsid w:val="00D47CCA"/>
    <w:rsid w:val="00D5012E"/>
    <w:rsid w:val="00D50F64"/>
    <w:rsid w:val="00D51CCE"/>
    <w:rsid w:val="00D5273D"/>
    <w:rsid w:val="00D538FF"/>
    <w:rsid w:val="00D5399F"/>
    <w:rsid w:val="00D60781"/>
    <w:rsid w:val="00D619F7"/>
    <w:rsid w:val="00D62AF4"/>
    <w:rsid w:val="00D70F25"/>
    <w:rsid w:val="00D81AA5"/>
    <w:rsid w:val="00D847F0"/>
    <w:rsid w:val="00D9760D"/>
    <w:rsid w:val="00DA0772"/>
    <w:rsid w:val="00DA17A3"/>
    <w:rsid w:val="00DB4CA3"/>
    <w:rsid w:val="00DB6B20"/>
    <w:rsid w:val="00DB7C8D"/>
    <w:rsid w:val="00DC5923"/>
    <w:rsid w:val="00DC6336"/>
    <w:rsid w:val="00DE0994"/>
    <w:rsid w:val="00DE4593"/>
    <w:rsid w:val="00DF1135"/>
    <w:rsid w:val="00DF1545"/>
    <w:rsid w:val="00DF1A9C"/>
    <w:rsid w:val="00DF58A2"/>
    <w:rsid w:val="00DF60AD"/>
    <w:rsid w:val="00DF6DB2"/>
    <w:rsid w:val="00E06546"/>
    <w:rsid w:val="00E228BD"/>
    <w:rsid w:val="00E23965"/>
    <w:rsid w:val="00E2595C"/>
    <w:rsid w:val="00E26156"/>
    <w:rsid w:val="00E262A1"/>
    <w:rsid w:val="00E3404B"/>
    <w:rsid w:val="00E342C2"/>
    <w:rsid w:val="00E36085"/>
    <w:rsid w:val="00E36DEB"/>
    <w:rsid w:val="00E37998"/>
    <w:rsid w:val="00E422A3"/>
    <w:rsid w:val="00E4238D"/>
    <w:rsid w:val="00E4257B"/>
    <w:rsid w:val="00E47C8D"/>
    <w:rsid w:val="00E51555"/>
    <w:rsid w:val="00E60BF5"/>
    <w:rsid w:val="00E64547"/>
    <w:rsid w:val="00E71092"/>
    <w:rsid w:val="00E74195"/>
    <w:rsid w:val="00E77081"/>
    <w:rsid w:val="00E83E2C"/>
    <w:rsid w:val="00E843B6"/>
    <w:rsid w:val="00E844BC"/>
    <w:rsid w:val="00E84665"/>
    <w:rsid w:val="00E848C2"/>
    <w:rsid w:val="00E91D1A"/>
    <w:rsid w:val="00E93FD0"/>
    <w:rsid w:val="00E94420"/>
    <w:rsid w:val="00E95A25"/>
    <w:rsid w:val="00EA2705"/>
    <w:rsid w:val="00EA3FC0"/>
    <w:rsid w:val="00EB16C6"/>
    <w:rsid w:val="00EB630B"/>
    <w:rsid w:val="00EB6A96"/>
    <w:rsid w:val="00EC6B9C"/>
    <w:rsid w:val="00ED1D00"/>
    <w:rsid w:val="00ED1FB6"/>
    <w:rsid w:val="00ED3C6F"/>
    <w:rsid w:val="00ED4F4F"/>
    <w:rsid w:val="00EE0421"/>
    <w:rsid w:val="00EE2060"/>
    <w:rsid w:val="00EE23DC"/>
    <w:rsid w:val="00EE5860"/>
    <w:rsid w:val="00EE58E1"/>
    <w:rsid w:val="00EE6ADF"/>
    <w:rsid w:val="00EE7549"/>
    <w:rsid w:val="00EF17C6"/>
    <w:rsid w:val="00EF2BB4"/>
    <w:rsid w:val="00EF55E9"/>
    <w:rsid w:val="00EF651B"/>
    <w:rsid w:val="00F00D73"/>
    <w:rsid w:val="00F00D86"/>
    <w:rsid w:val="00F01374"/>
    <w:rsid w:val="00F025DE"/>
    <w:rsid w:val="00F07BDD"/>
    <w:rsid w:val="00F127BA"/>
    <w:rsid w:val="00F14664"/>
    <w:rsid w:val="00F15448"/>
    <w:rsid w:val="00F165A5"/>
    <w:rsid w:val="00F1665A"/>
    <w:rsid w:val="00F2043C"/>
    <w:rsid w:val="00F206D5"/>
    <w:rsid w:val="00F20977"/>
    <w:rsid w:val="00F23A76"/>
    <w:rsid w:val="00F249B3"/>
    <w:rsid w:val="00F26A8F"/>
    <w:rsid w:val="00F36081"/>
    <w:rsid w:val="00F41AC1"/>
    <w:rsid w:val="00F460FC"/>
    <w:rsid w:val="00F508E5"/>
    <w:rsid w:val="00F51237"/>
    <w:rsid w:val="00F51D86"/>
    <w:rsid w:val="00F544F5"/>
    <w:rsid w:val="00F56EF8"/>
    <w:rsid w:val="00F57090"/>
    <w:rsid w:val="00F60DA1"/>
    <w:rsid w:val="00F61079"/>
    <w:rsid w:val="00F62E7D"/>
    <w:rsid w:val="00F63AB1"/>
    <w:rsid w:val="00F6555B"/>
    <w:rsid w:val="00F717D9"/>
    <w:rsid w:val="00F738C9"/>
    <w:rsid w:val="00F75218"/>
    <w:rsid w:val="00F757A4"/>
    <w:rsid w:val="00F821EE"/>
    <w:rsid w:val="00F83BF1"/>
    <w:rsid w:val="00F8572E"/>
    <w:rsid w:val="00F91A28"/>
    <w:rsid w:val="00F92B09"/>
    <w:rsid w:val="00F92DCB"/>
    <w:rsid w:val="00F96315"/>
    <w:rsid w:val="00FA0D50"/>
    <w:rsid w:val="00FA3A8B"/>
    <w:rsid w:val="00FB02E2"/>
    <w:rsid w:val="00FB099C"/>
    <w:rsid w:val="00FB0E11"/>
    <w:rsid w:val="00FB2BF3"/>
    <w:rsid w:val="00FB5BE9"/>
    <w:rsid w:val="00FB7FF9"/>
    <w:rsid w:val="00FC4006"/>
    <w:rsid w:val="00FD1C13"/>
    <w:rsid w:val="00FD4C4E"/>
    <w:rsid w:val="00FD543B"/>
    <w:rsid w:val="00FD6E4C"/>
    <w:rsid w:val="00FD7AA8"/>
    <w:rsid w:val="00FE0026"/>
    <w:rsid w:val="00FE14F5"/>
    <w:rsid w:val="00FE5F65"/>
    <w:rsid w:val="00FE7A7C"/>
    <w:rsid w:val="00FE7EFA"/>
    <w:rsid w:val="00FF29FD"/>
    <w:rsid w:val="00FF2B8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5C67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9" w:unhideWhenUsed="0" w:qFormat="1"/>
    <w:lsdException w:name="heading 1" w:semiHidden="0" w:uiPriority="0" w:unhideWhenUsed="0" w:qFormat="1"/>
    <w:lsdException w:name="heading 2" w:uiPriority="2" w:qFormat="1"/>
    <w:lsdException w:name="heading 3" w:uiPriority="2"/>
    <w:lsdException w:name="heading 4" w:uiPriority="2" w:qFormat="1"/>
    <w:lsdException w:name="heading 5" w:uiPriority="1" w:qFormat="1"/>
    <w:lsdException w:name="heading 6" w:uiPriority="5" w:qFormat="1"/>
    <w:lsdException w:name="heading 7" w:uiPriority="5" w:qFormat="1"/>
    <w:lsdException w:name="heading 8" w:uiPriority="5" w:qFormat="1"/>
    <w:lsdException w:name="heading 9" w:uiPriority="3" w:qFormat="1"/>
    <w:lsdException w:name="toc 1" w:uiPriority="39"/>
    <w:lsdException w:name="toc 2" w:uiPriority="39"/>
    <w:lsdException w:name="toc 3" w:uiPriority="39"/>
    <w:lsdException w:name="toc 4" w:uiPriority="39" w:unhideWhenUsed="0"/>
    <w:lsdException w:name="toc 5" w:uiPriority="39"/>
    <w:lsdException w:name="toc 6" w:uiPriority="19"/>
    <w:lsdException w:name="toc 7" w:uiPriority="19"/>
    <w:lsdException w:name="toc 8" w:uiPriority="19" w:unhideWhenUsed="0"/>
    <w:lsdException w:name="toc 9" w:uiPriority="19" w:unhideWhenUsed="0"/>
    <w:lsdException w:name="footnote text" w:uiPriority="19"/>
    <w:lsdException w:name="annotation text" w:uiPriority="19"/>
    <w:lsdException w:name="header" w:uiPriority="19"/>
    <w:lsdException w:name="caption" w:uiPriority="19" w:unhideWhenUsed="0" w:qFormat="1"/>
    <w:lsdException w:name="footnote reference" w:uiPriority="19"/>
    <w:lsdException w:name="annotation reference" w:uiPriority="19" w:unhideWhenUsed="0"/>
    <w:lsdException w:name="page number" w:uiPriority="19"/>
    <w:lsdException w:name="toa heading" w:unhideWhenUsed="0"/>
    <w:lsdException w:name="Title" w:semiHidden="0" w:uiPriority="19" w:unhideWhenUsed="0" w:qFormat="1"/>
    <w:lsdException w:name="Default Paragraph Font" w:uiPriority="1"/>
    <w:lsdException w:name="Body Text" w:uiPriority="19"/>
    <w:lsdException w:name="Body Text Indent" w:uiPriority="19"/>
    <w:lsdException w:name="Subtitle" w:semiHidden="0" w:uiPriority="19" w:unhideWhenUsed="0" w:qFormat="1"/>
    <w:lsdException w:name="Body Text 2" w:uiPriority="19"/>
    <w:lsdException w:name="Body Text 3" w:uiPriority="19"/>
    <w:lsdException w:name="Body Text Indent 2" w:uiPriority="19"/>
    <w:lsdException w:name="Body Text Indent 3" w:uiPriority="19"/>
    <w:lsdException w:name="FollowedHyperlink" w:unhideWhenUsed="0"/>
    <w:lsdException w:name="Strong" w:semiHidden="0" w:uiPriority="22" w:unhideWhenUsed="0" w:qFormat="1"/>
    <w:lsdException w:name="Emphasis" w:semiHidden="0" w:uiPriority="20" w:unhideWhenUsed="0" w:qFormat="1"/>
    <w:lsdException w:name="annotation subject" w:uiPriority="19" w:unhideWhenUsed="0"/>
    <w:lsdException w:name="Table Classic 1" w:uiPriority="0"/>
    <w:lsdException w:name="Balloon Text" w:uiPriority="19"/>
    <w:lsdException w:name="Table Grid" w:semiHidden="0" w:uiPriority="59" w:unhideWhenUsed="0"/>
    <w:lsdException w:name="Placeholder Text" w:unhideWhenUsed="0"/>
    <w:lsdException w:name="No Spacing" w:semiHidden="0" w:uiPriority="1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9"/>
    <w:qFormat/>
    <w:rsid w:val="00EA2705"/>
    <w:pPr>
      <w:spacing w:after="240" w:line="240" w:lineRule="auto"/>
      <w:jc w:val="both"/>
    </w:pPr>
    <w:rPr>
      <w:rFonts w:ascii="Calibri" w:eastAsia="Times New Roman" w:hAnsi="Calibri" w:cs="Times New Roman"/>
      <w:sz w:val="22"/>
    </w:rPr>
  </w:style>
  <w:style w:type="paragraph" w:styleId="Heading1">
    <w:name w:val="heading 1"/>
    <w:aliases w:val="Chapter Heading"/>
    <w:next w:val="Heading5"/>
    <w:link w:val="Heading1Char"/>
    <w:qFormat/>
    <w:rsid w:val="00EA2705"/>
    <w:pPr>
      <w:keepNext/>
      <w:numPr>
        <w:numId w:val="25"/>
      </w:numPr>
      <w:spacing w:before="360" w:after="240" w:line="240" w:lineRule="auto"/>
      <w:outlineLvl w:val="0"/>
    </w:pPr>
    <w:rPr>
      <w:rFonts w:ascii="Century Gothic" w:eastAsia="Times New Roman" w:hAnsi="Century Gothic" w:cs="Times New Roman"/>
      <w:b/>
      <w:color w:val="6B004B"/>
      <w:sz w:val="44"/>
      <w:szCs w:val="44"/>
    </w:rPr>
  </w:style>
  <w:style w:type="paragraph" w:styleId="Heading2">
    <w:name w:val="heading 2"/>
    <w:aliases w:val="Sub Head 1"/>
    <w:basedOn w:val="Heading4"/>
    <w:next w:val="Heading5"/>
    <w:link w:val="Heading2Char"/>
    <w:uiPriority w:val="2"/>
    <w:qFormat/>
    <w:rsid w:val="00EA2705"/>
    <w:pPr>
      <w:outlineLvl w:val="1"/>
    </w:pPr>
    <w:rPr>
      <w:rFonts w:ascii="Century Gothic" w:hAnsi="Century Gothic"/>
      <w:b/>
      <w:sz w:val="28"/>
    </w:rPr>
  </w:style>
  <w:style w:type="paragraph" w:styleId="Heading3">
    <w:name w:val="heading 3"/>
    <w:aliases w:val="Sub Head 2"/>
    <w:basedOn w:val="Normal"/>
    <w:next w:val="Heading5"/>
    <w:link w:val="Heading3Char"/>
    <w:uiPriority w:val="2"/>
    <w:rsid w:val="00B12C6C"/>
    <w:pPr>
      <w:keepNext/>
      <w:numPr>
        <w:ilvl w:val="3"/>
      </w:numPr>
      <w:spacing w:before="240"/>
      <w:ind w:left="680"/>
      <w:jc w:val="left"/>
      <w:outlineLvl w:val="2"/>
    </w:pPr>
    <w:rPr>
      <w:rFonts w:ascii="Candara" w:hAnsi="Candara"/>
      <w:b/>
      <w:bCs/>
      <w:iCs/>
      <w:color w:val="008080"/>
      <w:sz w:val="24"/>
      <w:szCs w:val="28"/>
    </w:rPr>
  </w:style>
  <w:style w:type="paragraph" w:styleId="Heading4">
    <w:name w:val="heading 4"/>
    <w:aliases w:val="Subhead 3"/>
    <w:basedOn w:val="Heading3"/>
    <w:next w:val="Heading5"/>
    <w:link w:val="Heading4Char"/>
    <w:uiPriority w:val="2"/>
    <w:qFormat/>
    <w:rsid w:val="00885B83"/>
    <w:pPr>
      <w:outlineLvl w:val="3"/>
    </w:pPr>
    <w:rPr>
      <w:b w:val="0"/>
      <w:i/>
      <w:color w:val="6B004B"/>
    </w:rPr>
  </w:style>
  <w:style w:type="paragraph" w:styleId="Heading5">
    <w:name w:val="heading 5"/>
    <w:aliases w:val="Paragraph Text"/>
    <w:basedOn w:val="Heading1"/>
    <w:link w:val="Heading5Char"/>
    <w:uiPriority w:val="1"/>
    <w:qFormat/>
    <w:rsid w:val="00D47CCA"/>
    <w:pPr>
      <w:keepNext w:val="0"/>
      <w:numPr>
        <w:ilvl w:val="4"/>
      </w:numPr>
      <w:tabs>
        <w:tab w:val="clear" w:pos="1106"/>
        <w:tab w:val="num" w:pos="680"/>
      </w:tabs>
      <w:spacing w:before="120" w:after="120" w:line="280" w:lineRule="atLeast"/>
      <w:ind w:left="680"/>
      <w:jc w:val="both"/>
      <w:outlineLvl w:val="4"/>
    </w:pPr>
    <w:rPr>
      <w:b w:val="0"/>
      <w:color w:val="auto"/>
      <w:sz w:val="20"/>
    </w:rPr>
  </w:style>
  <w:style w:type="paragraph" w:styleId="Heading6">
    <w:name w:val="heading 6"/>
    <w:aliases w:val="level 1 bullet 1"/>
    <w:basedOn w:val="Heading5"/>
    <w:link w:val="Heading6Char"/>
    <w:uiPriority w:val="5"/>
    <w:qFormat/>
    <w:rsid w:val="00A50D95"/>
    <w:pPr>
      <w:numPr>
        <w:ilvl w:val="0"/>
        <w:numId w:val="0"/>
      </w:numPr>
      <w:tabs>
        <w:tab w:val="num" w:pos="1361"/>
      </w:tabs>
      <w:ind w:left="1361" w:hanging="681"/>
      <w:outlineLvl w:val="5"/>
    </w:pPr>
  </w:style>
  <w:style w:type="paragraph" w:styleId="Heading7">
    <w:name w:val="heading 7"/>
    <w:aliases w:val="Bullet 2"/>
    <w:link w:val="Heading7Char"/>
    <w:uiPriority w:val="5"/>
    <w:qFormat/>
    <w:rsid w:val="00E93FD0"/>
    <w:pPr>
      <w:numPr>
        <w:numId w:val="40"/>
      </w:numPr>
      <w:spacing w:before="120" w:after="120" w:line="280" w:lineRule="atLeast"/>
      <w:jc w:val="both"/>
      <w:outlineLvl w:val="6"/>
    </w:pPr>
    <w:rPr>
      <w:rFonts w:ascii="Century Gothic" w:eastAsia="Times New Roman" w:hAnsi="Century Gothic" w:cs="Times New Roman"/>
    </w:rPr>
  </w:style>
  <w:style w:type="paragraph" w:styleId="Heading8">
    <w:name w:val="heading 8"/>
    <w:aliases w:val="Bullet 3"/>
    <w:link w:val="Heading8Char"/>
    <w:uiPriority w:val="5"/>
    <w:qFormat/>
    <w:rsid w:val="00A606FC"/>
    <w:pPr>
      <w:numPr>
        <w:ilvl w:val="7"/>
        <w:numId w:val="25"/>
      </w:numPr>
      <w:spacing w:before="180" w:after="180" w:line="240" w:lineRule="auto"/>
      <w:outlineLvl w:val="7"/>
    </w:pPr>
    <w:rPr>
      <w:rFonts w:ascii="Calibri" w:eastAsia="Times New Roman" w:hAnsi="Calibri" w:cs="Times New Roman"/>
      <w:sz w:val="22"/>
      <w:szCs w:val="44"/>
    </w:rPr>
  </w:style>
  <w:style w:type="paragraph" w:styleId="Heading9">
    <w:name w:val="heading 9"/>
    <w:aliases w:val="Bullet Heading"/>
    <w:basedOn w:val="Normal"/>
    <w:next w:val="Heading6"/>
    <w:link w:val="Heading9Char"/>
    <w:uiPriority w:val="3"/>
    <w:qFormat/>
    <w:rsid w:val="00A606FC"/>
    <w:pPr>
      <w:numPr>
        <w:ilvl w:val="8"/>
        <w:numId w:val="25"/>
      </w:numPr>
      <w:spacing w:before="240" w:after="120" w:line="280" w:lineRule="atLeast"/>
      <w:outlineLvl w:val="8"/>
    </w:pPr>
    <w:rPr>
      <w:rFonts w:ascii="Candara" w:hAnsi="Candara"/>
      <w: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
    <w:basedOn w:val="DefaultParagraphFont"/>
    <w:link w:val="Heading1"/>
    <w:rsid w:val="00EA2705"/>
    <w:rPr>
      <w:rFonts w:ascii="Century Gothic" w:eastAsia="Times New Roman" w:hAnsi="Century Gothic" w:cs="Times New Roman"/>
      <w:b/>
      <w:color w:val="6B004B"/>
      <w:sz w:val="44"/>
      <w:szCs w:val="44"/>
    </w:rPr>
  </w:style>
  <w:style w:type="paragraph" w:customStyle="1" w:styleId="PageHeader">
    <w:name w:val="Page Header"/>
    <w:basedOn w:val="Heading1"/>
    <w:uiPriority w:val="19"/>
    <w:semiHidden/>
    <w:qFormat/>
    <w:rsid w:val="00840060"/>
    <w:pPr>
      <w:pageBreakBefore/>
      <w:framePr w:w="9072" w:wrap="around" w:vAnchor="page" w:hAnchor="text" w:y="852"/>
      <w:numPr>
        <w:numId w:val="20"/>
      </w:numPr>
      <w:pBdr>
        <w:top w:val="single" w:sz="4" w:space="1" w:color="auto"/>
      </w:pBdr>
      <w:spacing w:before="0" w:line="720" w:lineRule="atLeast"/>
    </w:pPr>
    <w:rPr>
      <w:sz w:val="60"/>
    </w:rPr>
  </w:style>
  <w:style w:type="character" w:customStyle="1" w:styleId="Heading2Char">
    <w:name w:val="Heading 2 Char"/>
    <w:aliases w:val="Sub Head 1 Char"/>
    <w:link w:val="Heading2"/>
    <w:uiPriority w:val="2"/>
    <w:rsid w:val="00EA2705"/>
    <w:rPr>
      <w:rFonts w:ascii="Century Gothic" w:eastAsia="Times New Roman" w:hAnsi="Century Gothic" w:cs="Times New Roman"/>
      <w:b/>
      <w:bCs/>
      <w:i/>
      <w:iCs/>
      <w:color w:val="6B004B"/>
      <w:sz w:val="28"/>
      <w:szCs w:val="28"/>
    </w:rPr>
  </w:style>
  <w:style w:type="character" w:customStyle="1" w:styleId="Heading3Char">
    <w:name w:val="Heading 3 Char"/>
    <w:aliases w:val="Sub Head 2 Char"/>
    <w:link w:val="Heading3"/>
    <w:uiPriority w:val="2"/>
    <w:rsid w:val="00B12C6C"/>
    <w:rPr>
      <w:rFonts w:ascii="Candara" w:eastAsia="Times New Roman" w:hAnsi="Candara" w:cs="Times New Roman"/>
      <w:b/>
      <w:bCs/>
      <w:iCs/>
      <w:color w:val="008080"/>
      <w:sz w:val="24"/>
      <w:szCs w:val="28"/>
    </w:rPr>
  </w:style>
  <w:style w:type="character" w:customStyle="1" w:styleId="Heading4Char">
    <w:name w:val="Heading 4 Char"/>
    <w:aliases w:val="Subhead 3 Char"/>
    <w:basedOn w:val="DefaultParagraphFont"/>
    <w:link w:val="Heading4"/>
    <w:uiPriority w:val="2"/>
    <w:rsid w:val="00885B83"/>
    <w:rPr>
      <w:rFonts w:ascii="Candara" w:eastAsia="Times New Roman" w:hAnsi="Candara" w:cs="Times New Roman"/>
      <w:bCs/>
      <w:i/>
      <w:iCs/>
      <w:color w:val="6B004B"/>
      <w:sz w:val="24"/>
      <w:szCs w:val="28"/>
    </w:rPr>
  </w:style>
  <w:style w:type="paragraph" w:styleId="Header">
    <w:name w:val="header"/>
    <w:basedOn w:val="Normal"/>
    <w:link w:val="HeaderChar"/>
    <w:uiPriority w:val="19"/>
    <w:semiHidden/>
    <w:rsid w:val="000765AA"/>
    <w:pPr>
      <w:tabs>
        <w:tab w:val="center" w:pos="4321"/>
        <w:tab w:val="right" w:pos="8641"/>
      </w:tabs>
      <w:jc w:val="center"/>
    </w:pPr>
    <w:rPr>
      <w:rFonts w:ascii="Candara" w:hAnsi="Candara" w:cs="Tahoma"/>
      <w:b/>
      <w:bCs/>
      <w:color w:val="9B9795"/>
      <w:szCs w:val="22"/>
    </w:rPr>
  </w:style>
  <w:style w:type="character" w:customStyle="1" w:styleId="HeaderChar">
    <w:name w:val="Header Char"/>
    <w:basedOn w:val="DefaultParagraphFont"/>
    <w:link w:val="Header"/>
    <w:uiPriority w:val="19"/>
    <w:semiHidden/>
    <w:rsid w:val="000765AA"/>
    <w:rPr>
      <w:rFonts w:ascii="Candara" w:eastAsia="Times New Roman" w:hAnsi="Candara" w:cs="Tahoma"/>
      <w:b/>
      <w:bCs/>
      <w:color w:val="9B9795"/>
      <w:sz w:val="22"/>
      <w:szCs w:val="22"/>
    </w:rPr>
  </w:style>
  <w:style w:type="paragraph" w:styleId="Footer">
    <w:name w:val="footer"/>
    <w:basedOn w:val="Normal"/>
    <w:link w:val="FooterChar"/>
    <w:uiPriority w:val="99"/>
    <w:semiHidden/>
    <w:rsid w:val="00AF2717"/>
    <w:pPr>
      <w:tabs>
        <w:tab w:val="center" w:pos="5046"/>
      </w:tabs>
      <w:spacing w:after="0" w:line="240" w:lineRule="atLeast"/>
      <w:jc w:val="center"/>
    </w:pPr>
    <w:rPr>
      <w:snapToGrid w:val="0"/>
    </w:rPr>
  </w:style>
  <w:style w:type="character" w:customStyle="1" w:styleId="FooterChar">
    <w:name w:val="Footer Char"/>
    <w:basedOn w:val="DefaultParagraphFont"/>
    <w:link w:val="Footer"/>
    <w:uiPriority w:val="99"/>
    <w:semiHidden/>
    <w:rsid w:val="00B85EAA"/>
    <w:rPr>
      <w:rFonts w:ascii="Calibri" w:eastAsia="Times New Roman" w:hAnsi="Calibri" w:cs="Times New Roman"/>
      <w:snapToGrid w:val="0"/>
      <w:sz w:val="22"/>
    </w:rPr>
  </w:style>
  <w:style w:type="paragraph" w:styleId="ListParagraph">
    <w:name w:val="List Paragraph"/>
    <w:basedOn w:val="Normal"/>
    <w:uiPriority w:val="34"/>
    <w:semiHidden/>
    <w:qFormat/>
    <w:rsid w:val="00AF2717"/>
    <w:pPr>
      <w:spacing w:after="200" w:line="276" w:lineRule="auto"/>
      <w:ind w:left="720"/>
      <w:contextualSpacing/>
      <w:jc w:val="left"/>
    </w:pPr>
    <w:rPr>
      <w:rFonts w:ascii="Arial" w:eastAsiaTheme="minorHAnsi" w:hAnsi="Arial" w:cstheme="minorBidi"/>
      <w:sz w:val="24"/>
      <w:szCs w:val="22"/>
    </w:rPr>
  </w:style>
  <w:style w:type="numbering" w:customStyle="1" w:styleId="NumbLstNumb">
    <w:name w:val="NumbLstNumb"/>
    <w:uiPriority w:val="99"/>
    <w:rsid w:val="005A1BA9"/>
    <w:pPr>
      <w:numPr>
        <w:numId w:val="11"/>
      </w:numPr>
    </w:pPr>
  </w:style>
  <w:style w:type="numbering" w:customStyle="1" w:styleId="NumbLstBullet">
    <w:name w:val="NumbLstBullet"/>
    <w:uiPriority w:val="99"/>
    <w:rsid w:val="008552F5"/>
    <w:pPr>
      <w:numPr>
        <w:numId w:val="12"/>
      </w:numPr>
    </w:pPr>
  </w:style>
  <w:style w:type="table" w:styleId="TableGrid">
    <w:name w:val="Table Grid"/>
    <w:basedOn w:val="TableNormal"/>
    <w:uiPriority w:val="59"/>
    <w:rsid w:val="00AF2717"/>
    <w:pPr>
      <w:spacing w:after="0" w:line="240" w:lineRule="auto"/>
      <w:jc w:val="right"/>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Unicode MS" w:hAnsi="Arial Unicode MS"/>
        <w:b/>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3D6017"/>
      </w:tcPr>
    </w:tblStylePr>
    <w:tblStylePr w:type="firstCol">
      <w:pPr>
        <w:jc w:val="left"/>
      </w:pPr>
    </w:tblStylePr>
  </w:style>
  <w:style w:type="paragraph" w:customStyle="1" w:styleId="Notes">
    <w:name w:val="Notes"/>
    <w:basedOn w:val="Normal"/>
    <w:next w:val="Normal"/>
    <w:uiPriority w:val="19"/>
    <w:semiHidden/>
    <w:qFormat/>
    <w:rsid w:val="00840060"/>
    <w:pPr>
      <w:spacing w:before="100" w:line="200" w:lineRule="atLeast"/>
    </w:pPr>
    <w:rPr>
      <w:sz w:val="16"/>
    </w:rPr>
  </w:style>
  <w:style w:type="paragraph" w:customStyle="1" w:styleId="NormalNoSpace">
    <w:name w:val="NormalNoSpace"/>
    <w:basedOn w:val="Normal"/>
    <w:uiPriority w:val="19"/>
    <w:qFormat/>
    <w:rsid w:val="00AF2717"/>
    <w:pPr>
      <w:spacing w:after="0"/>
    </w:pPr>
  </w:style>
  <w:style w:type="paragraph" w:customStyle="1" w:styleId="FigureTitle">
    <w:name w:val="Figure Title"/>
    <w:basedOn w:val="Normal"/>
    <w:next w:val="Normal"/>
    <w:uiPriority w:val="19"/>
    <w:qFormat/>
    <w:rsid w:val="00A606FC"/>
    <w:pPr>
      <w:keepNext/>
      <w:numPr>
        <w:ilvl w:val="6"/>
        <w:numId w:val="25"/>
      </w:numPr>
      <w:spacing w:before="40" w:after="40"/>
      <w:jc w:val="left"/>
    </w:pPr>
  </w:style>
  <w:style w:type="paragraph" w:customStyle="1" w:styleId="BodyText">
    <w:name w:val="BodyText"/>
    <w:basedOn w:val="Normal"/>
    <w:uiPriority w:val="49"/>
    <w:semiHidden/>
    <w:qFormat/>
    <w:rsid w:val="00840060"/>
    <w:pPr>
      <w:ind w:left="680"/>
    </w:pPr>
    <w:rPr>
      <w:rFonts w:cs="HelveticaNeue-Light"/>
    </w:rPr>
  </w:style>
  <w:style w:type="numbering" w:customStyle="1" w:styleId="NumbLstMain">
    <w:name w:val="NumbLstMain"/>
    <w:uiPriority w:val="99"/>
    <w:rsid w:val="00A606FC"/>
    <w:pPr>
      <w:numPr>
        <w:numId w:val="18"/>
      </w:numPr>
    </w:pPr>
  </w:style>
  <w:style w:type="paragraph" w:customStyle="1" w:styleId="PageHeaderNoToc">
    <w:name w:val="Page Header NoToc"/>
    <w:basedOn w:val="PageHeader"/>
    <w:uiPriority w:val="19"/>
    <w:semiHidden/>
    <w:qFormat/>
    <w:rsid w:val="00840060"/>
    <w:pPr>
      <w:framePr w:wrap="around"/>
    </w:pPr>
  </w:style>
  <w:style w:type="paragraph" w:customStyle="1" w:styleId="AppendixHeading2">
    <w:name w:val="Appendix Heading 2"/>
    <w:basedOn w:val="Heading2"/>
    <w:next w:val="AppendixHeading5"/>
    <w:uiPriority w:val="18"/>
    <w:qFormat/>
    <w:rsid w:val="0067266A"/>
  </w:style>
  <w:style w:type="numbering" w:customStyle="1" w:styleId="NumbLstAnnex">
    <w:name w:val="NumbLstAnnex"/>
    <w:uiPriority w:val="99"/>
    <w:rsid w:val="008552F5"/>
    <w:pPr>
      <w:numPr>
        <w:numId w:val="13"/>
      </w:numPr>
    </w:pPr>
  </w:style>
  <w:style w:type="paragraph" w:styleId="TOC1">
    <w:name w:val="toc 1"/>
    <w:basedOn w:val="Normal"/>
    <w:next w:val="Normal"/>
    <w:uiPriority w:val="39"/>
    <w:rsid w:val="00AF2717"/>
    <w:pPr>
      <w:pBdr>
        <w:top w:val="single" w:sz="8" w:space="6" w:color="CE7628"/>
        <w:between w:val="single" w:sz="8" w:space="6" w:color="CE7628"/>
      </w:pBdr>
      <w:tabs>
        <w:tab w:val="left" w:pos="1361"/>
        <w:tab w:val="right" w:pos="9412"/>
      </w:tabs>
      <w:spacing w:before="240" w:after="120"/>
      <w:ind w:left="680"/>
      <w:jc w:val="left"/>
    </w:pPr>
    <w:rPr>
      <w:rFonts w:ascii="Candara" w:hAnsi="Candara"/>
      <w:b/>
      <w:bCs/>
      <w:sz w:val="24"/>
      <w:szCs w:val="22"/>
    </w:rPr>
  </w:style>
  <w:style w:type="paragraph" w:styleId="TOC2">
    <w:name w:val="toc 2"/>
    <w:basedOn w:val="Normal"/>
    <w:next w:val="Normal"/>
    <w:autoRedefine/>
    <w:uiPriority w:val="39"/>
    <w:rsid w:val="00AF2717"/>
    <w:pPr>
      <w:tabs>
        <w:tab w:val="right" w:pos="9405"/>
      </w:tabs>
      <w:spacing w:before="120" w:after="120"/>
      <w:ind w:left="1361"/>
    </w:pPr>
  </w:style>
  <w:style w:type="paragraph" w:styleId="TOC3">
    <w:name w:val="toc 3"/>
    <w:basedOn w:val="Normal"/>
    <w:next w:val="Normal"/>
    <w:autoRedefine/>
    <w:uiPriority w:val="39"/>
    <w:semiHidden/>
    <w:rsid w:val="00AF2717"/>
    <w:pPr>
      <w:tabs>
        <w:tab w:val="right" w:pos="9405"/>
      </w:tabs>
      <w:spacing w:after="0"/>
      <w:ind w:left="1361"/>
    </w:pPr>
    <w:rPr>
      <w:iCs/>
    </w:rPr>
  </w:style>
  <w:style w:type="character" w:styleId="Hyperlink">
    <w:name w:val="Hyperlink"/>
    <w:uiPriority w:val="99"/>
    <w:rsid w:val="00AF2717"/>
    <w:rPr>
      <w:rFonts w:ascii="Calibri" w:hAnsi="Calibri"/>
      <w:color w:val="0000FF"/>
      <w:u w:val="single"/>
    </w:rPr>
  </w:style>
  <w:style w:type="paragraph" w:styleId="TOC5">
    <w:name w:val="toc 5"/>
    <w:basedOn w:val="Normal"/>
    <w:next w:val="Normal"/>
    <w:autoRedefine/>
    <w:uiPriority w:val="39"/>
    <w:semiHidden/>
    <w:rsid w:val="00897E36"/>
    <w:pPr>
      <w:pBdr>
        <w:top w:val="single" w:sz="4" w:space="6" w:color="CE7628"/>
        <w:between w:val="single" w:sz="4" w:space="6" w:color="CE7628"/>
      </w:pBdr>
      <w:tabs>
        <w:tab w:val="right" w:pos="9412"/>
      </w:tabs>
      <w:spacing w:before="120" w:after="120"/>
      <w:ind w:left="680"/>
      <w:jc w:val="left"/>
    </w:pPr>
    <w:rPr>
      <w:rFonts w:ascii="Candara" w:hAnsi="Candara"/>
      <w:b/>
      <w:sz w:val="24"/>
      <w:szCs w:val="18"/>
    </w:rPr>
  </w:style>
  <w:style w:type="paragraph" w:styleId="TOC6">
    <w:name w:val="toc 6"/>
    <w:basedOn w:val="Normal"/>
    <w:next w:val="Normal"/>
    <w:autoRedefine/>
    <w:uiPriority w:val="19"/>
    <w:semiHidden/>
    <w:rsid w:val="00AF2717"/>
    <w:pPr>
      <w:ind w:left="1100"/>
    </w:pPr>
    <w:rPr>
      <w:sz w:val="18"/>
      <w:szCs w:val="18"/>
    </w:rPr>
  </w:style>
  <w:style w:type="paragraph" w:customStyle="1" w:styleId="Heading2NoToc">
    <w:name w:val="Heading 2NoToc"/>
    <w:basedOn w:val="Heading2"/>
    <w:uiPriority w:val="19"/>
    <w:semiHidden/>
    <w:qFormat/>
    <w:rsid w:val="00253BE3"/>
    <w:pPr>
      <w:tabs>
        <w:tab w:val="num" w:pos="680"/>
      </w:tabs>
      <w:ind w:left="1360" w:hanging="680"/>
    </w:pPr>
  </w:style>
  <w:style w:type="paragraph" w:styleId="TOC7">
    <w:name w:val="toc 7"/>
    <w:basedOn w:val="Normal"/>
    <w:next w:val="Normal"/>
    <w:autoRedefine/>
    <w:uiPriority w:val="19"/>
    <w:semiHidden/>
    <w:rsid w:val="00AF2717"/>
    <w:pPr>
      <w:ind w:left="1320"/>
    </w:pPr>
    <w:rPr>
      <w:sz w:val="18"/>
      <w:szCs w:val="18"/>
    </w:rPr>
  </w:style>
  <w:style w:type="paragraph" w:styleId="Title">
    <w:name w:val="Title"/>
    <w:basedOn w:val="Normal"/>
    <w:next w:val="Normal"/>
    <w:link w:val="TitleChar"/>
    <w:uiPriority w:val="19"/>
    <w:semiHidden/>
    <w:qFormat/>
    <w:rsid w:val="00840060"/>
    <w:pPr>
      <w:spacing w:after="0" w:line="1280" w:lineRule="exact"/>
      <w:contextualSpacing/>
    </w:pPr>
    <w:rPr>
      <w:rFonts w:ascii="Arial Bold" w:eastAsiaTheme="majorEastAsia" w:hAnsi="Arial Bold" w:cstheme="majorBidi"/>
      <w:b/>
      <w:color w:val="FFFFFF" w:themeColor="background1"/>
      <w:spacing w:val="5"/>
      <w:kern w:val="28"/>
      <w:sz w:val="120"/>
      <w:szCs w:val="52"/>
      <w:lang w:val="en-AU"/>
    </w:rPr>
  </w:style>
  <w:style w:type="character" w:customStyle="1" w:styleId="TitleChar">
    <w:name w:val="Title Char"/>
    <w:basedOn w:val="DefaultParagraphFont"/>
    <w:link w:val="Title"/>
    <w:uiPriority w:val="19"/>
    <w:semiHidden/>
    <w:rsid w:val="00840060"/>
    <w:rPr>
      <w:rFonts w:ascii="Arial Bold" w:eastAsiaTheme="majorEastAsia" w:hAnsi="Arial Bold" w:cstheme="majorBidi"/>
      <w:b/>
      <w:color w:val="FFFFFF" w:themeColor="background1"/>
      <w:spacing w:val="5"/>
      <w:kern w:val="28"/>
      <w:sz w:val="120"/>
      <w:szCs w:val="52"/>
      <w:lang w:val="en-AU"/>
    </w:rPr>
  </w:style>
  <w:style w:type="paragraph" w:styleId="Subtitle">
    <w:name w:val="Subtitle"/>
    <w:basedOn w:val="Normal"/>
    <w:next w:val="Normal"/>
    <w:link w:val="SubtitleChar"/>
    <w:uiPriority w:val="19"/>
    <w:semiHidden/>
    <w:qFormat/>
    <w:rsid w:val="00840060"/>
    <w:pPr>
      <w:numPr>
        <w:ilvl w:val="1"/>
      </w:numPr>
      <w:spacing w:after="0" w:line="440" w:lineRule="exact"/>
    </w:pPr>
    <w:rPr>
      <w:rFonts w:eastAsiaTheme="majorEastAsia" w:cstheme="majorBidi"/>
      <w:b/>
      <w:iCs/>
      <w:color w:val="FFFFFF" w:themeColor="background1"/>
      <w:spacing w:val="15"/>
      <w:sz w:val="40"/>
      <w:szCs w:val="24"/>
      <w:lang w:val="en-AU"/>
    </w:rPr>
  </w:style>
  <w:style w:type="character" w:customStyle="1" w:styleId="SubtitleChar">
    <w:name w:val="Subtitle Char"/>
    <w:basedOn w:val="DefaultParagraphFont"/>
    <w:link w:val="Subtitle"/>
    <w:uiPriority w:val="19"/>
    <w:semiHidden/>
    <w:rsid w:val="00840060"/>
    <w:rPr>
      <w:rFonts w:eastAsiaTheme="majorEastAsia" w:cstheme="majorBidi"/>
      <w:b/>
      <w:iCs/>
      <w:color w:val="FFFFFF" w:themeColor="background1"/>
      <w:spacing w:val="15"/>
      <w:sz w:val="40"/>
      <w:szCs w:val="24"/>
      <w:lang w:val="en-AU"/>
    </w:rPr>
  </w:style>
  <w:style w:type="paragraph" w:customStyle="1" w:styleId="Subtitle2">
    <w:name w:val="Subtitle 2"/>
    <w:basedOn w:val="Subtitle"/>
    <w:uiPriority w:val="19"/>
    <w:semiHidden/>
    <w:qFormat/>
    <w:rsid w:val="00840060"/>
    <w:pPr>
      <w:spacing w:line="280" w:lineRule="exact"/>
    </w:pPr>
    <w:rPr>
      <w:b w:val="0"/>
      <w:sz w:val="24"/>
      <w:lang w:val="en-GB"/>
    </w:rPr>
  </w:style>
  <w:style w:type="paragraph" w:styleId="BalloonText">
    <w:name w:val="Balloon Text"/>
    <w:basedOn w:val="Normal"/>
    <w:link w:val="BalloonTextChar"/>
    <w:uiPriority w:val="19"/>
    <w:semiHidden/>
    <w:rsid w:val="00AF2717"/>
    <w:rPr>
      <w:rFonts w:cs="Tahoma"/>
      <w:sz w:val="16"/>
      <w:szCs w:val="16"/>
    </w:rPr>
  </w:style>
  <w:style w:type="character" w:customStyle="1" w:styleId="BalloonTextChar">
    <w:name w:val="Balloon Text Char"/>
    <w:basedOn w:val="DefaultParagraphFont"/>
    <w:link w:val="BalloonText"/>
    <w:uiPriority w:val="19"/>
    <w:semiHidden/>
    <w:rsid w:val="00284A93"/>
    <w:rPr>
      <w:rFonts w:ascii="Calibri" w:eastAsia="Times New Roman" w:hAnsi="Calibri" w:cs="Tahoma"/>
      <w:sz w:val="16"/>
      <w:szCs w:val="16"/>
    </w:rPr>
  </w:style>
  <w:style w:type="paragraph" w:customStyle="1" w:styleId="HeaderFirstPage">
    <w:name w:val="HeaderFirstPage"/>
    <w:basedOn w:val="Header"/>
    <w:uiPriority w:val="19"/>
    <w:semiHidden/>
    <w:qFormat/>
    <w:rsid w:val="00840060"/>
    <w:pPr>
      <w:spacing w:after="2000"/>
    </w:pPr>
  </w:style>
  <w:style w:type="paragraph" w:customStyle="1" w:styleId="NormalNoSpaceBold">
    <w:name w:val="NormalNoSpaceBold"/>
    <w:basedOn w:val="NormalNoSpace"/>
    <w:uiPriority w:val="19"/>
    <w:semiHidden/>
    <w:qFormat/>
    <w:rsid w:val="00840060"/>
    <w:rPr>
      <w:b/>
    </w:rPr>
  </w:style>
  <w:style w:type="paragraph" w:customStyle="1" w:styleId="Yours">
    <w:name w:val="Yours"/>
    <w:basedOn w:val="Normal"/>
    <w:uiPriority w:val="19"/>
    <w:semiHidden/>
    <w:qFormat/>
    <w:rsid w:val="00840060"/>
    <w:pPr>
      <w:keepNext/>
      <w:spacing w:after="1520"/>
    </w:pPr>
  </w:style>
  <w:style w:type="paragraph" w:customStyle="1" w:styleId="ContactDetails">
    <w:name w:val="ContactDetails"/>
    <w:basedOn w:val="Normal"/>
    <w:next w:val="Normal"/>
    <w:uiPriority w:val="19"/>
    <w:semiHidden/>
    <w:qFormat/>
    <w:rsid w:val="00840060"/>
    <w:pPr>
      <w:spacing w:before="120" w:after="120"/>
      <w:contextualSpacing/>
    </w:pPr>
  </w:style>
  <w:style w:type="paragraph" w:customStyle="1" w:styleId="Enclosures">
    <w:name w:val="Enclosures"/>
    <w:basedOn w:val="Normal"/>
    <w:next w:val="Normal"/>
    <w:uiPriority w:val="19"/>
    <w:semiHidden/>
    <w:qFormat/>
    <w:rsid w:val="00840060"/>
    <w:pPr>
      <w:tabs>
        <w:tab w:val="left" w:pos="1021"/>
      </w:tabs>
      <w:ind w:left="1021" w:hanging="1021"/>
    </w:pPr>
  </w:style>
  <w:style w:type="paragraph" w:customStyle="1" w:styleId="FooterPageNo">
    <w:name w:val="FooterPageNo"/>
    <w:basedOn w:val="Footer"/>
    <w:uiPriority w:val="19"/>
    <w:semiHidden/>
    <w:qFormat/>
    <w:rsid w:val="00840060"/>
    <w:pPr>
      <w:tabs>
        <w:tab w:val="right" w:pos="8732"/>
      </w:tabs>
    </w:pPr>
    <w:rPr>
      <w:sz w:val="12"/>
    </w:rPr>
  </w:style>
  <w:style w:type="paragraph" w:styleId="FootnoteText">
    <w:name w:val="footnote text"/>
    <w:basedOn w:val="Normal"/>
    <w:link w:val="FootnoteTextChar"/>
    <w:uiPriority w:val="19"/>
    <w:semiHidden/>
    <w:rsid w:val="00AF2717"/>
    <w:pPr>
      <w:overflowPunct w:val="0"/>
      <w:autoSpaceDE w:val="0"/>
      <w:autoSpaceDN w:val="0"/>
      <w:adjustRightInd w:val="0"/>
      <w:spacing w:after="120"/>
      <w:ind w:left="180" w:hanging="180"/>
      <w:textAlignment w:val="baseline"/>
    </w:pPr>
    <w:rPr>
      <w:sz w:val="18"/>
    </w:rPr>
  </w:style>
  <w:style w:type="character" w:customStyle="1" w:styleId="FootnoteTextChar">
    <w:name w:val="Footnote Text Char"/>
    <w:basedOn w:val="DefaultParagraphFont"/>
    <w:link w:val="FootnoteText"/>
    <w:uiPriority w:val="19"/>
    <w:semiHidden/>
    <w:rsid w:val="00B85EAA"/>
    <w:rPr>
      <w:rFonts w:ascii="Calibri" w:eastAsia="Times New Roman" w:hAnsi="Calibri" w:cs="Times New Roman"/>
      <w:sz w:val="18"/>
    </w:rPr>
  </w:style>
  <w:style w:type="character" w:styleId="FootnoteReference">
    <w:name w:val="footnote reference"/>
    <w:uiPriority w:val="19"/>
    <w:semiHidden/>
    <w:rsid w:val="00AF2717"/>
    <w:rPr>
      <w:vertAlign w:val="superscript"/>
    </w:rPr>
  </w:style>
  <w:style w:type="paragraph" w:styleId="CommentText">
    <w:name w:val="annotation text"/>
    <w:basedOn w:val="Normal"/>
    <w:link w:val="CommentTextChar"/>
    <w:uiPriority w:val="19"/>
    <w:semiHidden/>
    <w:rsid w:val="00AF2717"/>
  </w:style>
  <w:style w:type="character" w:customStyle="1" w:styleId="CommentTextChar">
    <w:name w:val="Comment Text Char"/>
    <w:basedOn w:val="DefaultParagraphFont"/>
    <w:link w:val="CommentText"/>
    <w:uiPriority w:val="19"/>
    <w:semiHidden/>
    <w:rsid w:val="00284A93"/>
    <w:rPr>
      <w:rFonts w:ascii="Calibri" w:eastAsia="Times New Roman" w:hAnsi="Calibri" w:cs="Times New Roman"/>
      <w:sz w:val="22"/>
    </w:rPr>
  </w:style>
  <w:style w:type="paragraph" w:styleId="Date">
    <w:name w:val="Date"/>
    <w:basedOn w:val="Normal"/>
    <w:next w:val="Normal"/>
    <w:link w:val="DateChar"/>
    <w:uiPriority w:val="99"/>
    <w:semiHidden/>
    <w:rsid w:val="00B200AF"/>
  </w:style>
  <w:style w:type="character" w:customStyle="1" w:styleId="DateChar">
    <w:name w:val="Date Char"/>
    <w:basedOn w:val="DefaultParagraphFont"/>
    <w:link w:val="Date"/>
    <w:uiPriority w:val="99"/>
    <w:semiHidden/>
    <w:rsid w:val="00B200AF"/>
    <w:rPr>
      <w:rFonts w:ascii="Arial" w:hAnsi="Arial"/>
      <w:sz w:val="20"/>
      <w:lang w:val="en-AU"/>
    </w:rPr>
  </w:style>
  <w:style w:type="paragraph" w:customStyle="1" w:styleId="TableTitle">
    <w:name w:val="Table Title"/>
    <w:basedOn w:val="Normal"/>
    <w:uiPriority w:val="11"/>
    <w:qFormat/>
    <w:rsid w:val="00B64A5D"/>
    <w:pPr>
      <w:numPr>
        <w:ilvl w:val="5"/>
        <w:numId w:val="25"/>
      </w:numPr>
      <w:pBdr>
        <w:top w:val="single" w:sz="12" w:space="1" w:color="CE7628"/>
        <w:bottom w:val="single" w:sz="12" w:space="1" w:color="E7E6E6"/>
      </w:pBdr>
      <w:shd w:val="clear" w:color="auto" w:fill="E7E6E6"/>
      <w:spacing w:before="360" w:after="0"/>
      <w:ind w:right="28"/>
      <w:jc w:val="left"/>
    </w:pPr>
  </w:style>
  <w:style w:type="paragraph" w:customStyle="1" w:styleId="FigureSource">
    <w:name w:val="Figure Source"/>
    <w:basedOn w:val="TableText"/>
    <w:uiPriority w:val="19"/>
    <w:qFormat/>
    <w:rsid w:val="00AF2717"/>
    <w:pPr>
      <w:spacing w:before="60" w:after="120"/>
      <w:ind w:left="57"/>
    </w:pPr>
    <w:rPr>
      <w:rFonts w:cs="Arial"/>
      <w:sz w:val="16"/>
      <w:szCs w:val="16"/>
    </w:rPr>
  </w:style>
  <w:style w:type="paragraph" w:customStyle="1" w:styleId="NormalIndent1">
    <w:name w:val="NormalIndent1"/>
    <w:basedOn w:val="Normal"/>
    <w:uiPriority w:val="19"/>
    <w:qFormat/>
    <w:rsid w:val="00840060"/>
    <w:pPr>
      <w:ind w:left="340"/>
    </w:pPr>
  </w:style>
  <w:style w:type="paragraph" w:customStyle="1" w:styleId="NormalIndent2">
    <w:name w:val="NormalIndent2"/>
    <w:basedOn w:val="Normal"/>
    <w:uiPriority w:val="19"/>
    <w:qFormat/>
    <w:rsid w:val="00840060"/>
    <w:pPr>
      <w:ind w:left="680"/>
    </w:pPr>
  </w:style>
  <w:style w:type="paragraph" w:styleId="Bibliography">
    <w:name w:val="Bibliography"/>
    <w:basedOn w:val="Normal"/>
    <w:next w:val="Normal"/>
    <w:uiPriority w:val="37"/>
    <w:semiHidden/>
    <w:unhideWhenUsed/>
    <w:rsid w:val="00B200AF"/>
  </w:style>
  <w:style w:type="paragraph" w:styleId="BlockText">
    <w:name w:val="Block Text"/>
    <w:basedOn w:val="Normal"/>
    <w:uiPriority w:val="99"/>
    <w:semiHidden/>
    <w:unhideWhenUsed/>
    <w:rsid w:val="00B200AF"/>
    <w:pPr>
      <w:pBdr>
        <w:top w:val="single" w:sz="2" w:space="10" w:color="9B9795" w:themeColor="accent1" w:frame="1"/>
        <w:left w:val="single" w:sz="2" w:space="10" w:color="9B9795" w:themeColor="accent1" w:frame="1"/>
        <w:bottom w:val="single" w:sz="2" w:space="10" w:color="9B9795" w:themeColor="accent1" w:frame="1"/>
        <w:right w:val="single" w:sz="2" w:space="10" w:color="9B9795" w:themeColor="accent1" w:frame="1"/>
      </w:pBdr>
      <w:ind w:left="1152" w:right="1152"/>
    </w:pPr>
    <w:rPr>
      <w:rFonts w:asciiTheme="minorHAnsi" w:eastAsiaTheme="minorEastAsia" w:hAnsiTheme="minorHAnsi"/>
      <w:i/>
      <w:iCs/>
      <w:color w:val="9B9795" w:themeColor="accent1"/>
    </w:rPr>
  </w:style>
  <w:style w:type="paragraph" w:styleId="BodyText0">
    <w:name w:val="Body Text"/>
    <w:aliases w:val="Body Text2"/>
    <w:basedOn w:val="Normal"/>
    <w:link w:val="BodyTextChar"/>
    <w:uiPriority w:val="19"/>
    <w:semiHidden/>
    <w:rsid w:val="00AF2717"/>
    <w:rPr>
      <w:rFonts w:ascii="Arial" w:hAnsi="Arial" w:cs="Arial"/>
      <w:b/>
      <w:bCs/>
      <w:sz w:val="16"/>
    </w:rPr>
  </w:style>
  <w:style w:type="character" w:customStyle="1" w:styleId="BodyTextChar">
    <w:name w:val="Body Text Char"/>
    <w:aliases w:val="Body Text2 Char"/>
    <w:basedOn w:val="DefaultParagraphFont"/>
    <w:link w:val="BodyText0"/>
    <w:uiPriority w:val="19"/>
    <w:semiHidden/>
    <w:rsid w:val="00284A93"/>
    <w:rPr>
      <w:rFonts w:eastAsia="Times New Roman" w:cs="Arial"/>
      <w:b/>
      <w:bCs/>
      <w:sz w:val="16"/>
    </w:rPr>
  </w:style>
  <w:style w:type="paragraph" w:styleId="BodyText2">
    <w:name w:val="Body Text 2"/>
    <w:basedOn w:val="Normal"/>
    <w:link w:val="BodyText2Char"/>
    <w:uiPriority w:val="19"/>
    <w:semiHidden/>
    <w:rsid w:val="00AF2717"/>
    <w:pPr>
      <w:jc w:val="center"/>
    </w:pPr>
    <w:rPr>
      <w:rFonts w:ascii="Arial" w:hAnsi="Arial" w:cs="Arial"/>
      <w:b/>
      <w:bCs/>
      <w:sz w:val="16"/>
    </w:rPr>
  </w:style>
  <w:style w:type="character" w:customStyle="1" w:styleId="BodyText2Char">
    <w:name w:val="Body Text 2 Char"/>
    <w:basedOn w:val="DefaultParagraphFont"/>
    <w:link w:val="BodyText2"/>
    <w:uiPriority w:val="19"/>
    <w:semiHidden/>
    <w:rsid w:val="00284A93"/>
    <w:rPr>
      <w:rFonts w:eastAsia="Times New Roman" w:cs="Arial"/>
      <w:b/>
      <w:bCs/>
      <w:sz w:val="16"/>
    </w:rPr>
  </w:style>
  <w:style w:type="paragraph" w:styleId="BodyText3">
    <w:name w:val="Body Text 3"/>
    <w:basedOn w:val="Normal"/>
    <w:link w:val="BodyText3Char"/>
    <w:uiPriority w:val="19"/>
    <w:semiHidden/>
    <w:rsid w:val="00AF2717"/>
    <w:pPr>
      <w:jc w:val="center"/>
    </w:pPr>
    <w:rPr>
      <w:rFonts w:ascii="Arial" w:hAnsi="Arial" w:cs="Arial"/>
      <w:b/>
      <w:bCs/>
      <w:sz w:val="28"/>
    </w:rPr>
  </w:style>
  <w:style w:type="character" w:customStyle="1" w:styleId="BodyText3Char">
    <w:name w:val="Body Text 3 Char"/>
    <w:basedOn w:val="DefaultParagraphFont"/>
    <w:link w:val="BodyText3"/>
    <w:uiPriority w:val="19"/>
    <w:semiHidden/>
    <w:rsid w:val="00284A93"/>
    <w:rPr>
      <w:rFonts w:eastAsia="Times New Roman" w:cs="Arial"/>
      <w:b/>
      <w:bCs/>
      <w:sz w:val="28"/>
    </w:rPr>
  </w:style>
  <w:style w:type="paragraph" w:styleId="BodyTextFirstIndent">
    <w:name w:val="Body Text First Indent"/>
    <w:basedOn w:val="BodyText0"/>
    <w:link w:val="BodyTextFirstIndentChar"/>
    <w:uiPriority w:val="99"/>
    <w:semiHidden/>
    <w:unhideWhenUsed/>
    <w:rsid w:val="00B200AF"/>
    <w:pPr>
      <w:ind w:firstLine="360"/>
    </w:pPr>
  </w:style>
  <w:style w:type="character" w:customStyle="1" w:styleId="BodyTextFirstIndentChar">
    <w:name w:val="Body Text First Indent Char"/>
    <w:basedOn w:val="BodyTextChar"/>
    <w:link w:val="BodyTextFirstIndent"/>
    <w:uiPriority w:val="99"/>
    <w:semiHidden/>
    <w:rsid w:val="00B200AF"/>
    <w:rPr>
      <w:rFonts w:ascii="Arial" w:eastAsia="Times New Roman" w:hAnsi="Arial" w:cs="Arial"/>
      <w:b/>
      <w:bCs/>
      <w:sz w:val="20"/>
      <w:lang w:val="en-AU"/>
    </w:rPr>
  </w:style>
  <w:style w:type="paragraph" w:styleId="BodyTextIndent">
    <w:name w:val="Body Text Indent"/>
    <w:basedOn w:val="Normal"/>
    <w:link w:val="BodyTextIndentChar"/>
    <w:uiPriority w:val="19"/>
    <w:semiHidden/>
    <w:rsid w:val="00AF2717"/>
    <w:pPr>
      <w:ind w:left="426"/>
    </w:pPr>
  </w:style>
  <w:style w:type="character" w:customStyle="1" w:styleId="BodyTextIndentChar">
    <w:name w:val="Body Text Indent Char"/>
    <w:basedOn w:val="DefaultParagraphFont"/>
    <w:link w:val="BodyTextIndent"/>
    <w:uiPriority w:val="19"/>
    <w:semiHidden/>
    <w:rsid w:val="00284A93"/>
    <w:rPr>
      <w:rFonts w:ascii="Calibri" w:eastAsia="Times New Roman" w:hAnsi="Calibri" w:cs="Times New Roman"/>
      <w:sz w:val="22"/>
    </w:rPr>
  </w:style>
  <w:style w:type="paragraph" w:styleId="BodyTextFirstIndent2">
    <w:name w:val="Body Text First Indent 2"/>
    <w:basedOn w:val="BodyTextIndent"/>
    <w:link w:val="BodyTextFirstIndent2Char"/>
    <w:uiPriority w:val="99"/>
    <w:semiHidden/>
    <w:unhideWhenUsed/>
    <w:rsid w:val="00B200AF"/>
    <w:pPr>
      <w:ind w:left="360" w:firstLine="360"/>
    </w:pPr>
  </w:style>
  <w:style w:type="character" w:customStyle="1" w:styleId="BodyTextFirstIndent2Char">
    <w:name w:val="Body Text First Indent 2 Char"/>
    <w:basedOn w:val="BodyTextIndentChar"/>
    <w:link w:val="BodyTextFirstIndent2"/>
    <w:uiPriority w:val="99"/>
    <w:semiHidden/>
    <w:rsid w:val="00B200AF"/>
    <w:rPr>
      <w:rFonts w:ascii="Arial" w:eastAsia="Times New Roman" w:hAnsi="Arial" w:cs="Times New Roman"/>
      <w:sz w:val="20"/>
      <w:lang w:val="en-AU"/>
    </w:rPr>
  </w:style>
  <w:style w:type="paragraph" w:styleId="BodyTextIndent2">
    <w:name w:val="Body Text Indent 2"/>
    <w:basedOn w:val="Normal"/>
    <w:link w:val="BodyTextIndent2Char"/>
    <w:uiPriority w:val="19"/>
    <w:semiHidden/>
    <w:rsid w:val="00AF2717"/>
    <w:pPr>
      <w:ind w:left="426"/>
    </w:pPr>
  </w:style>
  <w:style w:type="character" w:customStyle="1" w:styleId="BodyTextIndent2Char">
    <w:name w:val="Body Text Indent 2 Char"/>
    <w:basedOn w:val="DefaultParagraphFont"/>
    <w:link w:val="BodyTextIndent2"/>
    <w:uiPriority w:val="19"/>
    <w:semiHidden/>
    <w:rsid w:val="00284A93"/>
    <w:rPr>
      <w:rFonts w:ascii="Calibri" w:eastAsia="Times New Roman" w:hAnsi="Calibri" w:cs="Times New Roman"/>
      <w:sz w:val="22"/>
    </w:rPr>
  </w:style>
  <w:style w:type="paragraph" w:styleId="BodyTextIndent3">
    <w:name w:val="Body Text Indent 3"/>
    <w:basedOn w:val="Normal"/>
    <w:link w:val="BodyTextIndent3Char"/>
    <w:uiPriority w:val="19"/>
    <w:semiHidden/>
    <w:rsid w:val="00AF2717"/>
    <w:pPr>
      <w:tabs>
        <w:tab w:val="num" w:pos="426"/>
      </w:tabs>
      <w:ind w:left="426"/>
    </w:pPr>
    <w:rPr>
      <w:szCs w:val="24"/>
    </w:rPr>
  </w:style>
  <w:style w:type="character" w:customStyle="1" w:styleId="BodyTextIndent3Char">
    <w:name w:val="Body Text Indent 3 Char"/>
    <w:basedOn w:val="DefaultParagraphFont"/>
    <w:link w:val="BodyTextIndent3"/>
    <w:uiPriority w:val="19"/>
    <w:semiHidden/>
    <w:rsid w:val="00284A93"/>
    <w:rPr>
      <w:rFonts w:ascii="Calibri" w:eastAsia="Times New Roman" w:hAnsi="Calibri" w:cs="Times New Roman"/>
      <w:sz w:val="22"/>
      <w:szCs w:val="24"/>
    </w:rPr>
  </w:style>
  <w:style w:type="character" w:styleId="BookTitle">
    <w:name w:val="Book Title"/>
    <w:basedOn w:val="DefaultParagraphFont"/>
    <w:uiPriority w:val="33"/>
    <w:semiHidden/>
    <w:unhideWhenUsed/>
    <w:qFormat/>
    <w:rsid w:val="00840060"/>
    <w:rPr>
      <w:b/>
      <w:bCs/>
      <w:smallCaps/>
      <w:spacing w:val="5"/>
    </w:rPr>
  </w:style>
  <w:style w:type="paragraph" w:styleId="Caption">
    <w:name w:val="caption"/>
    <w:basedOn w:val="TableText"/>
    <w:next w:val="Normal"/>
    <w:uiPriority w:val="19"/>
    <w:semiHidden/>
    <w:qFormat/>
    <w:rsid w:val="00AF2717"/>
    <w:rPr>
      <w:sz w:val="22"/>
    </w:rPr>
  </w:style>
  <w:style w:type="paragraph" w:styleId="Closing">
    <w:name w:val="Closing"/>
    <w:basedOn w:val="Normal"/>
    <w:link w:val="ClosingChar"/>
    <w:uiPriority w:val="99"/>
    <w:semiHidden/>
    <w:unhideWhenUsed/>
    <w:rsid w:val="00B200AF"/>
    <w:pPr>
      <w:spacing w:after="0"/>
      <w:ind w:left="4252"/>
    </w:pPr>
  </w:style>
  <w:style w:type="character" w:customStyle="1" w:styleId="ClosingChar">
    <w:name w:val="Closing Char"/>
    <w:basedOn w:val="DefaultParagraphFont"/>
    <w:link w:val="Closing"/>
    <w:uiPriority w:val="99"/>
    <w:semiHidden/>
    <w:rsid w:val="00B200AF"/>
    <w:rPr>
      <w:rFonts w:ascii="Arial" w:hAnsi="Arial"/>
      <w:sz w:val="20"/>
      <w:lang w:val="en-AU"/>
    </w:rPr>
  </w:style>
  <w:style w:type="table" w:styleId="ColorfulGrid">
    <w:name w:val="Colorful Grid"/>
    <w:basedOn w:val="TableNormal"/>
    <w:uiPriority w:val="73"/>
    <w:rsid w:val="008552F5"/>
    <w:pPr>
      <w:spacing w:after="0" w:line="240" w:lineRule="auto"/>
    </w:pPr>
    <w:rPr>
      <w:color w:val="9B9795" w:themeColor="text1"/>
    </w:rPr>
    <w:tblPr>
      <w:tblStyleRowBandSize w:val="1"/>
      <w:tblStyleColBandSize w:val="1"/>
      <w:tblBorders>
        <w:insideH w:val="single" w:sz="4" w:space="0" w:color="FFFFFF" w:themeColor="background1"/>
      </w:tblBorders>
    </w:tblPr>
    <w:tcPr>
      <w:shd w:val="clear" w:color="auto" w:fill="EBEAE9" w:themeFill="text1" w:themeFillTint="33"/>
    </w:tcPr>
    <w:tblStylePr w:type="firstRow">
      <w:rPr>
        <w:b/>
        <w:bCs/>
      </w:rPr>
      <w:tblPr/>
      <w:tcPr>
        <w:shd w:val="clear" w:color="auto" w:fill="D7D5D4" w:themeFill="text1" w:themeFillTint="66"/>
      </w:tcPr>
    </w:tblStylePr>
    <w:tblStylePr w:type="lastRow">
      <w:rPr>
        <w:b/>
        <w:bCs/>
        <w:color w:val="9B9795" w:themeColor="text1"/>
      </w:rPr>
      <w:tblPr/>
      <w:tcPr>
        <w:shd w:val="clear" w:color="auto" w:fill="D7D5D4" w:themeFill="text1" w:themeFillTint="66"/>
      </w:tcPr>
    </w:tblStylePr>
    <w:tblStylePr w:type="firstCol">
      <w:rPr>
        <w:color w:val="FFFFFF" w:themeColor="background1"/>
      </w:rPr>
      <w:tblPr/>
      <w:tcPr>
        <w:shd w:val="clear" w:color="auto" w:fill="75706E" w:themeFill="text1" w:themeFillShade="BF"/>
      </w:tcPr>
    </w:tblStylePr>
    <w:tblStylePr w:type="lastCol">
      <w:rPr>
        <w:color w:val="FFFFFF" w:themeColor="background1"/>
      </w:rPr>
      <w:tblPr/>
      <w:tcPr>
        <w:shd w:val="clear" w:color="auto" w:fill="75706E" w:themeFill="text1" w:themeFillShade="BF"/>
      </w:tcPr>
    </w:tblStylePr>
    <w:tblStylePr w:type="band1Vert">
      <w:tblPr/>
      <w:tcPr>
        <w:shd w:val="clear" w:color="auto" w:fill="CDCBCA" w:themeFill="text1" w:themeFillTint="7F"/>
      </w:tcPr>
    </w:tblStylePr>
    <w:tblStylePr w:type="band1Horz">
      <w:tblPr/>
      <w:tcPr>
        <w:shd w:val="clear" w:color="auto" w:fill="CDCBCA" w:themeFill="text1" w:themeFillTint="7F"/>
      </w:tcPr>
    </w:tblStylePr>
  </w:style>
  <w:style w:type="table" w:styleId="ColorfulGrid-Accent1">
    <w:name w:val="Colorful Grid Accent 1"/>
    <w:basedOn w:val="TableNormal"/>
    <w:uiPriority w:val="73"/>
    <w:rsid w:val="008552F5"/>
    <w:pPr>
      <w:spacing w:after="0" w:line="240" w:lineRule="auto"/>
    </w:pPr>
    <w:rPr>
      <w:color w:val="9B9795" w:themeColor="text1"/>
    </w:rPr>
    <w:tblPr>
      <w:tblStyleRowBandSize w:val="1"/>
      <w:tblStyleColBandSize w:val="1"/>
      <w:tblBorders>
        <w:insideH w:val="single" w:sz="4" w:space="0" w:color="FFFFFF" w:themeColor="background1"/>
      </w:tblBorders>
    </w:tblPr>
    <w:tcPr>
      <w:shd w:val="clear" w:color="auto" w:fill="EBEAE9" w:themeFill="accent1" w:themeFillTint="33"/>
    </w:tcPr>
    <w:tblStylePr w:type="firstRow">
      <w:rPr>
        <w:b/>
        <w:bCs/>
      </w:rPr>
      <w:tblPr/>
      <w:tcPr>
        <w:shd w:val="clear" w:color="auto" w:fill="D7D5D4" w:themeFill="accent1" w:themeFillTint="66"/>
      </w:tcPr>
    </w:tblStylePr>
    <w:tblStylePr w:type="lastRow">
      <w:rPr>
        <w:b/>
        <w:bCs/>
        <w:color w:val="9B9795" w:themeColor="text1"/>
      </w:rPr>
      <w:tblPr/>
      <w:tcPr>
        <w:shd w:val="clear" w:color="auto" w:fill="D7D5D4" w:themeFill="accent1" w:themeFillTint="66"/>
      </w:tcPr>
    </w:tblStylePr>
    <w:tblStylePr w:type="firstCol">
      <w:rPr>
        <w:color w:val="FFFFFF" w:themeColor="background1"/>
      </w:rPr>
      <w:tblPr/>
      <w:tcPr>
        <w:shd w:val="clear" w:color="auto" w:fill="75706E" w:themeFill="accent1" w:themeFillShade="BF"/>
      </w:tcPr>
    </w:tblStylePr>
    <w:tblStylePr w:type="lastCol">
      <w:rPr>
        <w:color w:val="FFFFFF" w:themeColor="background1"/>
      </w:rPr>
      <w:tblPr/>
      <w:tcPr>
        <w:shd w:val="clear" w:color="auto" w:fill="75706E" w:themeFill="accent1" w:themeFillShade="BF"/>
      </w:tcPr>
    </w:tblStylePr>
    <w:tblStylePr w:type="band1Vert">
      <w:tblPr/>
      <w:tcPr>
        <w:shd w:val="clear" w:color="auto" w:fill="CDCBCA" w:themeFill="accent1" w:themeFillTint="7F"/>
      </w:tcPr>
    </w:tblStylePr>
    <w:tblStylePr w:type="band1Horz">
      <w:tblPr/>
      <w:tcPr>
        <w:shd w:val="clear" w:color="auto" w:fill="CDCBCA" w:themeFill="accent1" w:themeFillTint="7F"/>
      </w:tcPr>
    </w:tblStylePr>
  </w:style>
  <w:style w:type="table" w:styleId="ColorfulGrid-Accent2">
    <w:name w:val="Colorful Grid Accent 2"/>
    <w:basedOn w:val="TableNormal"/>
    <w:uiPriority w:val="73"/>
    <w:rsid w:val="008552F5"/>
    <w:pPr>
      <w:spacing w:after="0" w:line="240" w:lineRule="auto"/>
    </w:pPr>
    <w:rPr>
      <w:color w:val="9B9795" w:themeColor="text1"/>
    </w:rPr>
    <w:tblPr>
      <w:tblStyleRowBandSize w:val="1"/>
      <w:tblStyleColBandSize w:val="1"/>
      <w:tblBorders>
        <w:insideH w:val="single" w:sz="4" w:space="0" w:color="FFFFFF" w:themeColor="background1"/>
      </w:tblBorders>
    </w:tblPr>
    <w:tcPr>
      <w:shd w:val="clear" w:color="auto" w:fill="F6E3D2" w:themeFill="accent2" w:themeFillTint="33"/>
    </w:tcPr>
    <w:tblStylePr w:type="firstRow">
      <w:rPr>
        <w:b/>
        <w:bCs/>
      </w:rPr>
      <w:tblPr/>
      <w:tcPr>
        <w:shd w:val="clear" w:color="auto" w:fill="EDC7A6" w:themeFill="accent2" w:themeFillTint="66"/>
      </w:tcPr>
    </w:tblStylePr>
    <w:tblStylePr w:type="lastRow">
      <w:rPr>
        <w:b/>
        <w:bCs/>
        <w:color w:val="9B9795" w:themeColor="text1"/>
      </w:rPr>
      <w:tblPr/>
      <w:tcPr>
        <w:shd w:val="clear" w:color="auto" w:fill="EDC7A6" w:themeFill="accent2" w:themeFillTint="66"/>
      </w:tcPr>
    </w:tblStylePr>
    <w:tblStylePr w:type="firstCol">
      <w:rPr>
        <w:color w:val="FFFFFF" w:themeColor="background1"/>
      </w:rPr>
      <w:tblPr/>
      <w:tcPr>
        <w:shd w:val="clear" w:color="auto" w:fill="9A571E" w:themeFill="accent2" w:themeFillShade="BF"/>
      </w:tcPr>
    </w:tblStylePr>
    <w:tblStylePr w:type="lastCol">
      <w:rPr>
        <w:color w:val="FFFFFF" w:themeColor="background1"/>
      </w:rPr>
      <w:tblPr/>
      <w:tcPr>
        <w:shd w:val="clear" w:color="auto" w:fill="9A571E" w:themeFill="accent2" w:themeFillShade="BF"/>
      </w:tcPr>
    </w:tblStylePr>
    <w:tblStylePr w:type="band1Vert">
      <w:tblPr/>
      <w:tcPr>
        <w:shd w:val="clear" w:color="auto" w:fill="E9BA90" w:themeFill="accent2" w:themeFillTint="7F"/>
      </w:tcPr>
    </w:tblStylePr>
    <w:tblStylePr w:type="band1Horz">
      <w:tblPr/>
      <w:tcPr>
        <w:shd w:val="clear" w:color="auto" w:fill="E9BA90" w:themeFill="accent2" w:themeFillTint="7F"/>
      </w:tcPr>
    </w:tblStylePr>
  </w:style>
  <w:style w:type="table" w:styleId="ColorfulGrid-Accent3">
    <w:name w:val="Colorful Grid Accent 3"/>
    <w:basedOn w:val="TableNormal"/>
    <w:uiPriority w:val="73"/>
    <w:rsid w:val="008552F5"/>
    <w:pPr>
      <w:spacing w:after="0" w:line="240" w:lineRule="auto"/>
    </w:pPr>
    <w:rPr>
      <w:color w:val="9B9795" w:themeColor="text1"/>
    </w:rPr>
    <w:tblPr>
      <w:tblStyleRowBandSize w:val="1"/>
      <w:tblStyleColBandSize w:val="1"/>
      <w:tblBorders>
        <w:insideH w:val="single" w:sz="4" w:space="0" w:color="FFFFFF" w:themeColor="background1"/>
      </w:tblBorders>
    </w:tblPr>
    <w:tcPr>
      <w:shd w:val="clear" w:color="auto" w:fill="D7E9D0" w:themeFill="accent3" w:themeFillTint="33"/>
    </w:tcPr>
    <w:tblStylePr w:type="firstRow">
      <w:rPr>
        <w:b/>
        <w:bCs/>
      </w:rPr>
      <w:tblPr/>
      <w:tcPr>
        <w:shd w:val="clear" w:color="auto" w:fill="B1D3A2" w:themeFill="accent3" w:themeFillTint="66"/>
      </w:tcPr>
    </w:tblStylePr>
    <w:tblStylePr w:type="lastRow">
      <w:rPr>
        <w:b/>
        <w:bCs/>
        <w:color w:val="9B9795" w:themeColor="text1"/>
      </w:rPr>
      <w:tblPr/>
      <w:tcPr>
        <w:shd w:val="clear" w:color="auto" w:fill="B1D3A2" w:themeFill="accent3" w:themeFillTint="66"/>
      </w:tcPr>
    </w:tblStylePr>
    <w:tblStylePr w:type="firstCol">
      <w:rPr>
        <w:color w:val="FFFFFF" w:themeColor="background1"/>
      </w:rPr>
      <w:tblPr/>
      <w:tcPr>
        <w:shd w:val="clear" w:color="auto" w:fill="365729" w:themeFill="accent3" w:themeFillShade="BF"/>
      </w:tcPr>
    </w:tblStylePr>
    <w:tblStylePr w:type="lastCol">
      <w:rPr>
        <w:color w:val="FFFFFF" w:themeColor="background1"/>
      </w:rPr>
      <w:tblPr/>
      <w:tcPr>
        <w:shd w:val="clear" w:color="auto" w:fill="365729" w:themeFill="accent3" w:themeFillShade="BF"/>
      </w:tcPr>
    </w:tblStylePr>
    <w:tblStylePr w:type="band1Vert">
      <w:tblPr/>
      <w:tcPr>
        <w:shd w:val="clear" w:color="auto" w:fill="9DC98C" w:themeFill="accent3" w:themeFillTint="7F"/>
      </w:tcPr>
    </w:tblStylePr>
    <w:tblStylePr w:type="band1Horz">
      <w:tblPr/>
      <w:tcPr>
        <w:shd w:val="clear" w:color="auto" w:fill="9DC98C" w:themeFill="accent3" w:themeFillTint="7F"/>
      </w:tcPr>
    </w:tblStylePr>
  </w:style>
  <w:style w:type="table" w:styleId="ColorfulGrid-Accent4">
    <w:name w:val="Colorful Grid Accent 4"/>
    <w:basedOn w:val="TableNormal"/>
    <w:uiPriority w:val="73"/>
    <w:rsid w:val="008552F5"/>
    <w:pPr>
      <w:spacing w:after="0" w:line="240" w:lineRule="auto"/>
    </w:pPr>
    <w:rPr>
      <w:color w:val="9B9795" w:themeColor="text1"/>
    </w:rPr>
    <w:tblPr>
      <w:tblStyleRowBandSize w:val="1"/>
      <w:tblStyleColBandSize w:val="1"/>
      <w:tblBorders>
        <w:insideH w:val="single" w:sz="4" w:space="0" w:color="FFFFFF" w:themeColor="background1"/>
      </w:tblBorders>
    </w:tblPr>
    <w:tcPr>
      <w:shd w:val="clear" w:color="auto" w:fill="F0EDD2" w:themeFill="accent4" w:themeFillTint="33"/>
    </w:tcPr>
    <w:tblStylePr w:type="firstRow">
      <w:rPr>
        <w:b/>
        <w:bCs/>
      </w:rPr>
      <w:tblPr/>
      <w:tcPr>
        <w:shd w:val="clear" w:color="auto" w:fill="E1DCA6" w:themeFill="accent4" w:themeFillTint="66"/>
      </w:tcPr>
    </w:tblStylePr>
    <w:tblStylePr w:type="lastRow">
      <w:rPr>
        <w:b/>
        <w:bCs/>
        <w:color w:val="9B9795" w:themeColor="text1"/>
      </w:rPr>
      <w:tblPr/>
      <w:tcPr>
        <w:shd w:val="clear" w:color="auto" w:fill="E1DCA6" w:themeFill="accent4" w:themeFillTint="66"/>
      </w:tcPr>
    </w:tblStylePr>
    <w:tblStylePr w:type="firstCol">
      <w:rPr>
        <w:color w:val="FFFFFF" w:themeColor="background1"/>
      </w:rPr>
      <w:tblPr/>
      <w:tcPr>
        <w:shd w:val="clear" w:color="auto" w:fill="787128" w:themeFill="accent4" w:themeFillShade="BF"/>
      </w:tcPr>
    </w:tblStylePr>
    <w:tblStylePr w:type="lastCol">
      <w:rPr>
        <w:color w:val="FFFFFF" w:themeColor="background1"/>
      </w:rPr>
      <w:tblPr/>
      <w:tcPr>
        <w:shd w:val="clear" w:color="auto" w:fill="787128" w:themeFill="accent4" w:themeFillShade="BF"/>
      </w:tcPr>
    </w:tblStylePr>
    <w:tblStylePr w:type="band1Vert">
      <w:tblPr/>
      <w:tcPr>
        <w:shd w:val="clear" w:color="auto" w:fill="DAD390" w:themeFill="accent4" w:themeFillTint="7F"/>
      </w:tcPr>
    </w:tblStylePr>
    <w:tblStylePr w:type="band1Horz">
      <w:tblPr/>
      <w:tcPr>
        <w:shd w:val="clear" w:color="auto" w:fill="DAD390" w:themeFill="accent4" w:themeFillTint="7F"/>
      </w:tcPr>
    </w:tblStylePr>
  </w:style>
  <w:style w:type="table" w:styleId="ColorfulGrid-Accent5">
    <w:name w:val="Colorful Grid Accent 5"/>
    <w:basedOn w:val="TableNormal"/>
    <w:uiPriority w:val="73"/>
    <w:rsid w:val="008552F5"/>
    <w:pPr>
      <w:spacing w:after="0" w:line="240" w:lineRule="auto"/>
    </w:pPr>
    <w:rPr>
      <w:color w:val="9B9795" w:themeColor="text1"/>
    </w:rPr>
    <w:tblPr>
      <w:tblStyleRowBandSize w:val="1"/>
      <w:tblStyleColBandSize w:val="1"/>
      <w:tblBorders>
        <w:insideH w:val="single" w:sz="4" w:space="0" w:color="FFFFFF" w:themeColor="background1"/>
      </w:tblBorders>
    </w:tblPr>
    <w:tcPr>
      <w:shd w:val="clear" w:color="auto" w:fill="E9D0D7" w:themeFill="accent5" w:themeFillTint="33"/>
    </w:tcPr>
    <w:tblStylePr w:type="firstRow">
      <w:rPr>
        <w:b/>
        <w:bCs/>
      </w:rPr>
      <w:tblPr/>
      <w:tcPr>
        <w:shd w:val="clear" w:color="auto" w:fill="D3A2B1" w:themeFill="accent5" w:themeFillTint="66"/>
      </w:tcPr>
    </w:tblStylePr>
    <w:tblStylePr w:type="lastRow">
      <w:rPr>
        <w:b/>
        <w:bCs/>
        <w:color w:val="9B9795" w:themeColor="text1"/>
      </w:rPr>
      <w:tblPr/>
      <w:tcPr>
        <w:shd w:val="clear" w:color="auto" w:fill="D3A2B1" w:themeFill="accent5" w:themeFillTint="66"/>
      </w:tcPr>
    </w:tblStylePr>
    <w:tblStylePr w:type="firstCol">
      <w:rPr>
        <w:color w:val="FFFFFF" w:themeColor="background1"/>
      </w:rPr>
      <w:tblPr/>
      <w:tcPr>
        <w:shd w:val="clear" w:color="auto" w:fill="572936" w:themeFill="accent5" w:themeFillShade="BF"/>
      </w:tcPr>
    </w:tblStylePr>
    <w:tblStylePr w:type="lastCol">
      <w:rPr>
        <w:color w:val="FFFFFF" w:themeColor="background1"/>
      </w:rPr>
      <w:tblPr/>
      <w:tcPr>
        <w:shd w:val="clear" w:color="auto" w:fill="572936" w:themeFill="accent5" w:themeFillShade="BF"/>
      </w:tcPr>
    </w:tblStylePr>
    <w:tblStylePr w:type="band1Vert">
      <w:tblPr/>
      <w:tcPr>
        <w:shd w:val="clear" w:color="auto" w:fill="C98C9D" w:themeFill="accent5" w:themeFillTint="7F"/>
      </w:tcPr>
    </w:tblStylePr>
    <w:tblStylePr w:type="band1Horz">
      <w:tblPr/>
      <w:tcPr>
        <w:shd w:val="clear" w:color="auto" w:fill="C98C9D" w:themeFill="accent5" w:themeFillTint="7F"/>
      </w:tcPr>
    </w:tblStylePr>
  </w:style>
  <w:style w:type="table" w:styleId="ColorfulGrid-Accent6">
    <w:name w:val="Colorful Grid Accent 6"/>
    <w:basedOn w:val="TableNormal"/>
    <w:uiPriority w:val="73"/>
    <w:rsid w:val="008552F5"/>
    <w:pPr>
      <w:spacing w:after="0" w:line="240" w:lineRule="auto"/>
    </w:pPr>
    <w:rPr>
      <w:color w:val="9B9795" w:themeColor="text1"/>
    </w:rPr>
    <w:tblPr>
      <w:tblStyleRowBandSize w:val="1"/>
      <w:tblStyleColBandSize w:val="1"/>
      <w:tblBorders>
        <w:insideH w:val="single" w:sz="4" w:space="0" w:color="FFFFFF" w:themeColor="background1"/>
      </w:tblBorders>
    </w:tblPr>
    <w:tcPr>
      <w:shd w:val="clear" w:color="auto" w:fill="FCEED1" w:themeFill="accent6" w:themeFillTint="33"/>
    </w:tcPr>
    <w:tblStylePr w:type="firstRow">
      <w:rPr>
        <w:b/>
        <w:bCs/>
      </w:rPr>
      <w:tblPr/>
      <w:tcPr>
        <w:shd w:val="clear" w:color="auto" w:fill="F9DEA3" w:themeFill="accent6" w:themeFillTint="66"/>
      </w:tcPr>
    </w:tblStylePr>
    <w:tblStylePr w:type="lastRow">
      <w:rPr>
        <w:b/>
        <w:bCs/>
        <w:color w:val="9B9795" w:themeColor="text1"/>
      </w:rPr>
      <w:tblPr/>
      <w:tcPr>
        <w:shd w:val="clear" w:color="auto" w:fill="F9DEA3" w:themeFill="accent6" w:themeFillTint="66"/>
      </w:tcPr>
    </w:tblStylePr>
    <w:tblStylePr w:type="firstCol">
      <w:rPr>
        <w:color w:val="FFFFFF" w:themeColor="background1"/>
      </w:rPr>
      <w:tblPr/>
      <w:tcPr>
        <w:shd w:val="clear" w:color="auto" w:fill="BC850B" w:themeFill="accent6" w:themeFillShade="BF"/>
      </w:tcPr>
    </w:tblStylePr>
    <w:tblStylePr w:type="lastCol">
      <w:rPr>
        <w:color w:val="FFFFFF" w:themeColor="background1"/>
      </w:rPr>
      <w:tblPr/>
      <w:tcPr>
        <w:shd w:val="clear" w:color="auto" w:fill="BC850B" w:themeFill="accent6" w:themeFillShade="BF"/>
      </w:tcPr>
    </w:tblStylePr>
    <w:tblStylePr w:type="band1Vert">
      <w:tblPr/>
      <w:tcPr>
        <w:shd w:val="clear" w:color="auto" w:fill="F8D68C" w:themeFill="accent6" w:themeFillTint="7F"/>
      </w:tcPr>
    </w:tblStylePr>
    <w:tblStylePr w:type="band1Horz">
      <w:tblPr/>
      <w:tcPr>
        <w:shd w:val="clear" w:color="auto" w:fill="F8D68C" w:themeFill="accent6" w:themeFillTint="7F"/>
      </w:tcPr>
    </w:tblStylePr>
  </w:style>
  <w:style w:type="table" w:styleId="ColorfulList">
    <w:name w:val="Colorful List"/>
    <w:basedOn w:val="TableNormal"/>
    <w:uiPriority w:val="72"/>
    <w:rsid w:val="008552F5"/>
    <w:pPr>
      <w:spacing w:after="0" w:line="240" w:lineRule="auto"/>
    </w:pPr>
    <w:rPr>
      <w:color w:val="9B9795" w:themeColor="text1"/>
    </w:rPr>
    <w:tblPr>
      <w:tblStyleRowBandSize w:val="1"/>
      <w:tblStyleColBandSize w:val="1"/>
    </w:tblPr>
    <w:tcPr>
      <w:shd w:val="clear" w:color="auto" w:fill="F5F4F4" w:themeFill="text1" w:themeFillTint="19"/>
    </w:tcPr>
    <w:tblStylePr w:type="firstRow">
      <w:rPr>
        <w:b/>
        <w:bCs/>
        <w:color w:val="FFFFFF" w:themeColor="background1"/>
      </w:rPr>
      <w:tblPr/>
      <w:tcPr>
        <w:tcBorders>
          <w:bottom w:val="single" w:sz="12" w:space="0" w:color="FFFFFF" w:themeColor="background1"/>
        </w:tcBorders>
        <w:shd w:val="clear" w:color="auto" w:fill="A45D20" w:themeFill="accent2" w:themeFillShade="CC"/>
      </w:tcPr>
    </w:tblStylePr>
    <w:tblStylePr w:type="lastRow">
      <w:rPr>
        <w:b/>
        <w:bCs/>
        <w:color w:val="A45D20" w:themeColor="accent2" w:themeShade="CC"/>
      </w:rPr>
      <w:tblPr/>
      <w:tcPr>
        <w:tcBorders>
          <w:top w:val="single" w:sz="12" w:space="0" w:color="9B979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5E4" w:themeFill="text1" w:themeFillTint="3F"/>
      </w:tcPr>
    </w:tblStylePr>
    <w:tblStylePr w:type="band1Horz">
      <w:tblPr/>
      <w:tcPr>
        <w:shd w:val="clear" w:color="auto" w:fill="EBEAE9" w:themeFill="text1" w:themeFillTint="33"/>
      </w:tcPr>
    </w:tblStylePr>
  </w:style>
  <w:style w:type="table" w:styleId="ColorfulList-Accent1">
    <w:name w:val="Colorful List Accent 1"/>
    <w:basedOn w:val="TableNormal"/>
    <w:uiPriority w:val="72"/>
    <w:rsid w:val="008552F5"/>
    <w:pPr>
      <w:spacing w:after="0" w:line="240" w:lineRule="auto"/>
    </w:pPr>
    <w:rPr>
      <w:color w:val="9B9795" w:themeColor="text1"/>
    </w:rPr>
    <w:tblPr>
      <w:tblStyleRowBandSize w:val="1"/>
      <w:tblStyleColBandSize w:val="1"/>
    </w:tblPr>
    <w:tcPr>
      <w:shd w:val="clear" w:color="auto" w:fill="F5F4F4" w:themeFill="accent1" w:themeFillTint="19"/>
    </w:tcPr>
    <w:tblStylePr w:type="firstRow">
      <w:rPr>
        <w:b/>
        <w:bCs/>
        <w:color w:val="FFFFFF" w:themeColor="background1"/>
      </w:rPr>
      <w:tblPr/>
      <w:tcPr>
        <w:tcBorders>
          <w:bottom w:val="single" w:sz="12" w:space="0" w:color="FFFFFF" w:themeColor="background1"/>
        </w:tcBorders>
        <w:shd w:val="clear" w:color="auto" w:fill="A45D20" w:themeFill="accent2" w:themeFillShade="CC"/>
      </w:tcPr>
    </w:tblStylePr>
    <w:tblStylePr w:type="lastRow">
      <w:rPr>
        <w:b/>
        <w:bCs/>
        <w:color w:val="A45D20" w:themeColor="accent2" w:themeShade="CC"/>
      </w:rPr>
      <w:tblPr/>
      <w:tcPr>
        <w:tcBorders>
          <w:top w:val="single" w:sz="12" w:space="0" w:color="9B979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5E4" w:themeFill="accent1" w:themeFillTint="3F"/>
      </w:tcPr>
    </w:tblStylePr>
    <w:tblStylePr w:type="band1Horz">
      <w:tblPr/>
      <w:tcPr>
        <w:shd w:val="clear" w:color="auto" w:fill="EBEAE9" w:themeFill="accent1" w:themeFillTint="33"/>
      </w:tcPr>
    </w:tblStylePr>
  </w:style>
  <w:style w:type="table" w:styleId="ColorfulList-Accent2">
    <w:name w:val="Colorful List Accent 2"/>
    <w:basedOn w:val="TableNormal"/>
    <w:uiPriority w:val="72"/>
    <w:rsid w:val="008552F5"/>
    <w:pPr>
      <w:spacing w:after="0" w:line="240" w:lineRule="auto"/>
    </w:pPr>
    <w:rPr>
      <w:color w:val="9B9795" w:themeColor="text1"/>
    </w:rPr>
    <w:tblPr>
      <w:tblStyleRowBandSize w:val="1"/>
      <w:tblStyleColBandSize w:val="1"/>
    </w:tblPr>
    <w:tcPr>
      <w:shd w:val="clear" w:color="auto" w:fill="FAF1E9" w:themeFill="accent2" w:themeFillTint="19"/>
    </w:tcPr>
    <w:tblStylePr w:type="firstRow">
      <w:rPr>
        <w:b/>
        <w:bCs/>
        <w:color w:val="FFFFFF" w:themeColor="background1"/>
      </w:rPr>
      <w:tblPr/>
      <w:tcPr>
        <w:tcBorders>
          <w:bottom w:val="single" w:sz="12" w:space="0" w:color="FFFFFF" w:themeColor="background1"/>
        </w:tcBorders>
        <w:shd w:val="clear" w:color="auto" w:fill="A45D20" w:themeFill="accent2" w:themeFillShade="CC"/>
      </w:tcPr>
    </w:tblStylePr>
    <w:tblStylePr w:type="lastRow">
      <w:rPr>
        <w:b/>
        <w:bCs/>
        <w:color w:val="A45D20" w:themeColor="accent2" w:themeShade="CC"/>
      </w:rPr>
      <w:tblPr/>
      <w:tcPr>
        <w:tcBorders>
          <w:top w:val="single" w:sz="12" w:space="0" w:color="9B979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CC8" w:themeFill="accent2" w:themeFillTint="3F"/>
      </w:tcPr>
    </w:tblStylePr>
    <w:tblStylePr w:type="band1Horz">
      <w:tblPr/>
      <w:tcPr>
        <w:shd w:val="clear" w:color="auto" w:fill="F6E3D2" w:themeFill="accent2" w:themeFillTint="33"/>
      </w:tcPr>
    </w:tblStylePr>
  </w:style>
  <w:style w:type="table" w:styleId="ColorfulList-Accent3">
    <w:name w:val="Colorful List Accent 3"/>
    <w:basedOn w:val="TableNormal"/>
    <w:uiPriority w:val="72"/>
    <w:rsid w:val="008552F5"/>
    <w:pPr>
      <w:spacing w:after="0" w:line="240" w:lineRule="auto"/>
    </w:pPr>
    <w:rPr>
      <w:color w:val="9B9795" w:themeColor="text1"/>
    </w:rPr>
    <w:tblPr>
      <w:tblStyleRowBandSize w:val="1"/>
      <w:tblStyleColBandSize w:val="1"/>
    </w:tblPr>
    <w:tcPr>
      <w:shd w:val="clear" w:color="auto" w:fill="EBF4E8" w:themeFill="accent3" w:themeFillTint="19"/>
    </w:tcPr>
    <w:tblStylePr w:type="firstRow">
      <w:rPr>
        <w:b/>
        <w:bCs/>
        <w:color w:val="FFFFFF" w:themeColor="background1"/>
      </w:rPr>
      <w:tblPr/>
      <w:tcPr>
        <w:tcBorders>
          <w:bottom w:val="single" w:sz="12" w:space="0" w:color="FFFFFF" w:themeColor="background1"/>
        </w:tcBorders>
        <w:shd w:val="clear" w:color="auto" w:fill="80792B" w:themeFill="accent4" w:themeFillShade="CC"/>
      </w:tcPr>
    </w:tblStylePr>
    <w:tblStylePr w:type="lastRow">
      <w:rPr>
        <w:b/>
        <w:bCs/>
        <w:color w:val="80792B" w:themeColor="accent4" w:themeShade="CC"/>
      </w:rPr>
      <w:tblPr/>
      <w:tcPr>
        <w:tcBorders>
          <w:top w:val="single" w:sz="12" w:space="0" w:color="9B979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4C6" w:themeFill="accent3" w:themeFillTint="3F"/>
      </w:tcPr>
    </w:tblStylePr>
    <w:tblStylePr w:type="band1Horz">
      <w:tblPr/>
      <w:tcPr>
        <w:shd w:val="clear" w:color="auto" w:fill="D7E9D0" w:themeFill="accent3" w:themeFillTint="33"/>
      </w:tcPr>
    </w:tblStylePr>
  </w:style>
  <w:style w:type="table" w:styleId="ColorfulList-Accent4">
    <w:name w:val="Colorful List Accent 4"/>
    <w:basedOn w:val="TableNormal"/>
    <w:uiPriority w:val="72"/>
    <w:rsid w:val="008552F5"/>
    <w:pPr>
      <w:spacing w:after="0" w:line="240" w:lineRule="auto"/>
    </w:pPr>
    <w:rPr>
      <w:color w:val="9B9795" w:themeColor="text1"/>
    </w:rPr>
    <w:tblPr>
      <w:tblStyleRowBandSize w:val="1"/>
      <w:tblStyleColBandSize w:val="1"/>
    </w:tblPr>
    <w:tcPr>
      <w:shd w:val="clear" w:color="auto" w:fill="F7F6E9" w:themeFill="accent4" w:themeFillTint="19"/>
    </w:tcPr>
    <w:tblStylePr w:type="firstRow">
      <w:rPr>
        <w:b/>
        <w:bCs/>
        <w:color w:val="FFFFFF" w:themeColor="background1"/>
      </w:rPr>
      <w:tblPr/>
      <w:tcPr>
        <w:tcBorders>
          <w:bottom w:val="single" w:sz="12" w:space="0" w:color="FFFFFF" w:themeColor="background1"/>
        </w:tcBorders>
        <w:shd w:val="clear" w:color="auto" w:fill="3A5D2C" w:themeFill="accent3" w:themeFillShade="CC"/>
      </w:tcPr>
    </w:tblStylePr>
    <w:tblStylePr w:type="lastRow">
      <w:rPr>
        <w:b/>
        <w:bCs/>
        <w:color w:val="3A5D2C" w:themeColor="accent3" w:themeShade="CC"/>
      </w:rPr>
      <w:tblPr/>
      <w:tcPr>
        <w:tcBorders>
          <w:top w:val="single" w:sz="12" w:space="0" w:color="9B979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9C8" w:themeFill="accent4" w:themeFillTint="3F"/>
      </w:tcPr>
    </w:tblStylePr>
    <w:tblStylePr w:type="band1Horz">
      <w:tblPr/>
      <w:tcPr>
        <w:shd w:val="clear" w:color="auto" w:fill="F0EDD2" w:themeFill="accent4" w:themeFillTint="33"/>
      </w:tcPr>
    </w:tblStylePr>
  </w:style>
  <w:style w:type="table" w:styleId="ColorfulList-Accent5">
    <w:name w:val="Colorful List Accent 5"/>
    <w:basedOn w:val="TableNormal"/>
    <w:uiPriority w:val="72"/>
    <w:rsid w:val="008552F5"/>
    <w:pPr>
      <w:spacing w:after="0" w:line="240" w:lineRule="auto"/>
    </w:pPr>
    <w:rPr>
      <w:color w:val="9B9795" w:themeColor="text1"/>
    </w:rPr>
    <w:tblPr>
      <w:tblStyleRowBandSize w:val="1"/>
      <w:tblStyleColBandSize w:val="1"/>
    </w:tblPr>
    <w:tcPr>
      <w:shd w:val="clear" w:color="auto" w:fill="F4E8EB" w:themeFill="accent5" w:themeFillTint="19"/>
    </w:tcPr>
    <w:tblStylePr w:type="firstRow">
      <w:rPr>
        <w:b/>
        <w:bCs/>
        <w:color w:val="FFFFFF" w:themeColor="background1"/>
      </w:rPr>
      <w:tblPr/>
      <w:tcPr>
        <w:tcBorders>
          <w:bottom w:val="single" w:sz="12" w:space="0" w:color="FFFFFF" w:themeColor="background1"/>
        </w:tcBorders>
        <w:shd w:val="clear" w:color="auto" w:fill="C88E0C" w:themeFill="accent6" w:themeFillShade="CC"/>
      </w:tcPr>
    </w:tblStylePr>
    <w:tblStylePr w:type="lastRow">
      <w:rPr>
        <w:b/>
        <w:bCs/>
        <w:color w:val="C88E0C" w:themeColor="accent6" w:themeShade="CC"/>
      </w:rPr>
      <w:tblPr/>
      <w:tcPr>
        <w:tcBorders>
          <w:top w:val="single" w:sz="12" w:space="0" w:color="9B979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C6CE" w:themeFill="accent5" w:themeFillTint="3F"/>
      </w:tcPr>
    </w:tblStylePr>
    <w:tblStylePr w:type="band1Horz">
      <w:tblPr/>
      <w:tcPr>
        <w:shd w:val="clear" w:color="auto" w:fill="E9D0D7" w:themeFill="accent5" w:themeFillTint="33"/>
      </w:tcPr>
    </w:tblStylePr>
  </w:style>
  <w:style w:type="table" w:styleId="ColorfulList-Accent6">
    <w:name w:val="Colorful List Accent 6"/>
    <w:basedOn w:val="TableNormal"/>
    <w:uiPriority w:val="72"/>
    <w:rsid w:val="008552F5"/>
    <w:pPr>
      <w:spacing w:after="0" w:line="240" w:lineRule="auto"/>
    </w:pPr>
    <w:rPr>
      <w:color w:val="9B9795" w:themeColor="text1"/>
    </w:rPr>
    <w:tblPr>
      <w:tblStyleRowBandSize w:val="1"/>
      <w:tblStyleColBandSize w:val="1"/>
    </w:tblPr>
    <w:tcPr>
      <w:shd w:val="clear" w:color="auto" w:fill="FDF7E8" w:themeFill="accent6" w:themeFillTint="19"/>
    </w:tcPr>
    <w:tblStylePr w:type="firstRow">
      <w:rPr>
        <w:b/>
        <w:bCs/>
        <w:color w:val="FFFFFF" w:themeColor="background1"/>
      </w:rPr>
      <w:tblPr/>
      <w:tcPr>
        <w:tcBorders>
          <w:bottom w:val="single" w:sz="12" w:space="0" w:color="FFFFFF" w:themeColor="background1"/>
        </w:tcBorders>
        <w:shd w:val="clear" w:color="auto" w:fill="5D2C3A" w:themeFill="accent5" w:themeFillShade="CC"/>
      </w:tcPr>
    </w:tblStylePr>
    <w:tblStylePr w:type="lastRow">
      <w:rPr>
        <w:b/>
        <w:bCs/>
        <w:color w:val="5D2C3A" w:themeColor="accent5" w:themeShade="CC"/>
      </w:rPr>
      <w:tblPr/>
      <w:tcPr>
        <w:tcBorders>
          <w:top w:val="single" w:sz="12" w:space="0" w:color="9B979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BC6" w:themeFill="accent6" w:themeFillTint="3F"/>
      </w:tcPr>
    </w:tblStylePr>
    <w:tblStylePr w:type="band1Horz">
      <w:tblPr/>
      <w:tcPr>
        <w:shd w:val="clear" w:color="auto" w:fill="FCEED1" w:themeFill="accent6" w:themeFillTint="33"/>
      </w:tcPr>
    </w:tblStylePr>
  </w:style>
  <w:style w:type="table" w:styleId="ColorfulShading">
    <w:name w:val="Colorful Shading"/>
    <w:basedOn w:val="TableNormal"/>
    <w:uiPriority w:val="71"/>
    <w:rsid w:val="008552F5"/>
    <w:pPr>
      <w:spacing w:after="0" w:line="240" w:lineRule="auto"/>
    </w:pPr>
    <w:rPr>
      <w:color w:val="9B9795" w:themeColor="text1"/>
    </w:rPr>
    <w:tblPr>
      <w:tblStyleRowBandSize w:val="1"/>
      <w:tblStyleColBandSize w:val="1"/>
      <w:tblBorders>
        <w:top w:val="single" w:sz="24" w:space="0" w:color="CE7628" w:themeColor="accent2"/>
        <w:left w:val="single" w:sz="4" w:space="0" w:color="9B9795" w:themeColor="text1"/>
        <w:bottom w:val="single" w:sz="4" w:space="0" w:color="9B9795" w:themeColor="text1"/>
        <w:right w:val="single" w:sz="4" w:space="0" w:color="9B9795" w:themeColor="text1"/>
        <w:insideH w:val="single" w:sz="4" w:space="0" w:color="FFFFFF" w:themeColor="background1"/>
        <w:insideV w:val="single" w:sz="4" w:space="0" w:color="FFFFFF" w:themeColor="background1"/>
      </w:tblBorders>
    </w:tblPr>
    <w:tcPr>
      <w:shd w:val="clear" w:color="auto" w:fill="F5F4F4" w:themeFill="text1" w:themeFillTint="19"/>
    </w:tcPr>
    <w:tblStylePr w:type="firstRow">
      <w:rPr>
        <w:b/>
        <w:bCs/>
      </w:rPr>
      <w:tblPr/>
      <w:tcPr>
        <w:tcBorders>
          <w:top w:val="nil"/>
          <w:left w:val="nil"/>
          <w:bottom w:val="single" w:sz="24" w:space="0" w:color="CE762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5A58" w:themeFill="text1" w:themeFillShade="99"/>
      </w:tcPr>
    </w:tblStylePr>
    <w:tblStylePr w:type="firstCol">
      <w:rPr>
        <w:color w:val="FFFFFF" w:themeColor="background1"/>
      </w:rPr>
      <w:tblPr/>
      <w:tcPr>
        <w:tcBorders>
          <w:top w:val="nil"/>
          <w:left w:val="nil"/>
          <w:bottom w:val="nil"/>
          <w:right w:val="nil"/>
          <w:insideH w:val="single" w:sz="4" w:space="0" w:color="5D5A58" w:themeColor="text1" w:themeShade="99"/>
          <w:insideV w:val="nil"/>
        </w:tcBorders>
        <w:shd w:val="clear" w:color="auto" w:fill="5D5A5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75706E" w:themeFill="text1" w:themeFillShade="BF"/>
      </w:tcPr>
    </w:tblStylePr>
    <w:tblStylePr w:type="band1Vert">
      <w:tblPr/>
      <w:tcPr>
        <w:shd w:val="clear" w:color="auto" w:fill="D7D5D4" w:themeFill="text1" w:themeFillTint="66"/>
      </w:tcPr>
    </w:tblStylePr>
    <w:tblStylePr w:type="band1Horz">
      <w:tblPr/>
      <w:tcPr>
        <w:shd w:val="clear" w:color="auto" w:fill="CDCBCA" w:themeFill="text1" w:themeFillTint="7F"/>
      </w:tcPr>
    </w:tblStylePr>
    <w:tblStylePr w:type="neCell">
      <w:rPr>
        <w:color w:val="9B9795" w:themeColor="text1"/>
      </w:rPr>
    </w:tblStylePr>
    <w:tblStylePr w:type="nwCell">
      <w:rPr>
        <w:color w:val="9B9795" w:themeColor="text1"/>
      </w:rPr>
    </w:tblStylePr>
  </w:style>
  <w:style w:type="table" w:styleId="ColorfulShading-Accent1">
    <w:name w:val="Colorful Shading Accent 1"/>
    <w:basedOn w:val="TableNormal"/>
    <w:uiPriority w:val="71"/>
    <w:rsid w:val="008552F5"/>
    <w:pPr>
      <w:spacing w:after="0" w:line="240" w:lineRule="auto"/>
    </w:pPr>
    <w:rPr>
      <w:color w:val="9B9795" w:themeColor="text1"/>
    </w:rPr>
    <w:tblPr>
      <w:tblStyleRowBandSize w:val="1"/>
      <w:tblStyleColBandSize w:val="1"/>
      <w:tblBorders>
        <w:top w:val="single" w:sz="24" w:space="0" w:color="CE7628" w:themeColor="accent2"/>
        <w:left w:val="single" w:sz="4" w:space="0" w:color="9B9795" w:themeColor="accent1"/>
        <w:bottom w:val="single" w:sz="4" w:space="0" w:color="9B9795" w:themeColor="accent1"/>
        <w:right w:val="single" w:sz="4" w:space="0" w:color="9B9795" w:themeColor="accent1"/>
        <w:insideH w:val="single" w:sz="4" w:space="0" w:color="FFFFFF" w:themeColor="background1"/>
        <w:insideV w:val="single" w:sz="4" w:space="0" w:color="FFFFFF" w:themeColor="background1"/>
      </w:tblBorders>
    </w:tblPr>
    <w:tcPr>
      <w:shd w:val="clear" w:color="auto" w:fill="F5F4F4" w:themeFill="accent1" w:themeFillTint="19"/>
    </w:tcPr>
    <w:tblStylePr w:type="firstRow">
      <w:rPr>
        <w:b/>
        <w:bCs/>
      </w:rPr>
      <w:tblPr/>
      <w:tcPr>
        <w:tcBorders>
          <w:top w:val="nil"/>
          <w:left w:val="nil"/>
          <w:bottom w:val="single" w:sz="24" w:space="0" w:color="CE762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5A58" w:themeFill="accent1" w:themeFillShade="99"/>
      </w:tcPr>
    </w:tblStylePr>
    <w:tblStylePr w:type="firstCol">
      <w:rPr>
        <w:color w:val="FFFFFF" w:themeColor="background1"/>
      </w:rPr>
      <w:tblPr/>
      <w:tcPr>
        <w:tcBorders>
          <w:top w:val="nil"/>
          <w:left w:val="nil"/>
          <w:bottom w:val="nil"/>
          <w:right w:val="nil"/>
          <w:insideH w:val="single" w:sz="4" w:space="0" w:color="5D5A58" w:themeColor="accent1" w:themeShade="99"/>
          <w:insideV w:val="nil"/>
        </w:tcBorders>
        <w:shd w:val="clear" w:color="auto" w:fill="5D5A5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D5A58" w:themeFill="accent1" w:themeFillShade="99"/>
      </w:tcPr>
    </w:tblStylePr>
    <w:tblStylePr w:type="band1Vert">
      <w:tblPr/>
      <w:tcPr>
        <w:shd w:val="clear" w:color="auto" w:fill="D7D5D4" w:themeFill="accent1" w:themeFillTint="66"/>
      </w:tcPr>
    </w:tblStylePr>
    <w:tblStylePr w:type="band1Horz">
      <w:tblPr/>
      <w:tcPr>
        <w:shd w:val="clear" w:color="auto" w:fill="CDCBCA" w:themeFill="accent1" w:themeFillTint="7F"/>
      </w:tcPr>
    </w:tblStylePr>
    <w:tblStylePr w:type="neCell">
      <w:rPr>
        <w:color w:val="9B9795" w:themeColor="text1"/>
      </w:rPr>
    </w:tblStylePr>
    <w:tblStylePr w:type="nwCell">
      <w:rPr>
        <w:color w:val="9B9795" w:themeColor="text1"/>
      </w:rPr>
    </w:tblStylePr>
  </w:style>
  <w:style w:type="table" w:styleId="ColorfulShading-Accent2">
    <w:name w:val="Colorful Shading Accent 2"/>
    <w:basedOn w:val="TableNormal"/>
    <w:uiPriority w:val="71"/>
    <w:rsid w:val="008552F5"/>
    <w:pPr>
      <w:spacing w:after="0" w:line="240" w:lineRule="auto"/>
    </w:pPr>
    <w:rPr>
      <w:color w:val="9B9795" w:themeColor="text1"/>
    </w:rPr>
    <w:tblPr>
      <w:tblStyleRowBandSize w:val="1"/>
      <w:tblStyleColBandSize w:val="1"/>
      <w:tblBorders>
        <w:top w:val="single" w:sz="24" w:space="0" w:color="CE7628" w:themeColor="accent2"/>
        <w:left w:val="single" w:sz="4" w:space="0" w:color="CE7628" w:themeColor="accent2"/>
        <w:bottom w:val="single" w:sz="4" w:space="0" w:color="CE7628" w:themeColor="accent2"/>
        <w:right w:val="single" w:sz="4" w:space="0" w:color="CE7628" w:themeColor="accent2"/>
        <w:insideH w:val="single" w:sz="4" w:space="0" w:color="FFFFFF" w:themeColor="background1"/>
        <w:insideV w:val="single" w:sz="4" w:space="0" w:color="FFFFFF" w:themeColor="background1"/>
      </w:tblBorders>
    </w:tblPr>
    <w:tcPr>
      <w:shd w:val="clear" w:color="auto" w:fill="FAF1E9" w:themeFill="accent2" w:themeFillTint="19"/>
    </w:tcPr>
    <w:tblStylePr w:type="firstRow">
      <w:rPr>
        <w:b/>
        <w:bCs/>
      </w:rPr>
      <w:tblPr/>
      <w:tcPr>
        <w:tcBorders>
          <w:top w:val="nil"/>
          <w:left w:val="nil"/>
          <w:bottom w:val="single" w:sz="24" w:space="0" w:color="CE762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B4618" w:themeFill="accent2" w:themeFillShade="99"/>
      </w:tcPr>
    </w:tblStylePr>
    <w:tblStylePr w:type="firstCol">
      <w:rPr>
        <w:color w:val="FFFFFF" w:themeColor="background1"/>
      </w:rPr>
      <w:tblPr/>
      <w:tcPr>
        <w:tcBorders>
          <w:top w:val="nil"/>
          <w:left w:val="nil"/>
          <w:bottom w:val="nil"/>
          <w:right w:val="nil"/>
          <w:insideH w:val="single" w:sz="4" w:space="0" w:color="7B4618" w:themeColor="accent2" w:themeShade="99"/>
          <w:insideV w:val="nil"/>
        </w:tcBorders>
        <w:shd w:val="clear" w:color="auto" w:fill="7B461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B4618" w:themeFill="accent2" w:themeFillShade="99"/>
      </w:tcPr>
    </w:tblStylePr>
    <w:tblStylePr w:type="band1Vert">
      <w:tblPr/>
      <w:tcPr>
        <w:shd w:val="clear" w:color="auto" w:fill="EDC7A6" w:themeFill="accent2" w:themeFillTint="66"/>
      </w:tcPr>
    </w:tblStylePr>
    <w:tblStylePr w:type="band1Horz">
      <w:tblPr/>
      <w:tcPr>
        <w:shd w:val="clear" w:color="auto" w:fill="E9BA90" w:themeFill="accent2" w:themeFillTint="7F"/>
      </w:tcPr>
    </w:tblStylePr>
    <w:tblStylePr w:type="neCell">
      <w:rPr>
        <w:color w:val="9B9795" w:themeColor="text1"/>
      </w:rPr>
    </w:tblStylePr>
    <w:tblStylePr w:type="nwCell">
      <w:rPr>
        <w:color w:val="9B9795" w:themeColor="text1"/>
      </w:rPr>
    </w:tblStylePr>
  </w:style>
  <w:style w:type="table" w:styleId="ColorfulShading-Accent3">
    <w:name w:val="Colorful Shading Accent 3"/>
    <w:basedOn w:val="TableNormal"/>
    <w:uiPriority w:val="71"/>
    <w:rsid w:val="008552F5"/>
    <w:pPr>
      <w:spacing w:after="0" w:line="240" w:lineRule="auto"/>
    </w:pPr>
    <w:rPr>
      <w:color w:val="9B9795" w:themeColor="text1"/>
    </w:rPr>
    <w:tblPr>
      <w:tblStyleRowBandSize w:val="1"/>
      <w:tblStyleColBandSize w:val="1"/>
      <w:tblBorders>
        <w:top w:val="single" w:sz="24" w:space="0" w:color="A19836" w:themeColor="accent4"/>
        <w:left w:val="single" w:sz="4" w:space="0" w:color="497537" w:themeColor="accent3"/>
        <w:bottom w:val="single" w:sz="4" w:space="0" w:color="497537" w:themeColor="accent3"/>
        <w:right w:val="single" w:sz="4" w:space="0" w:color="497537" w:themeColor="accent3"/>
        <w:insideH w:val="single" w:sz="4" w:space="0" w:color="FFFFFF" w:themeColor="background1"/>
        <w:insideV w:val="single" w:sz="4" w:space="0" w:color="FFFFFF" w:themeColor="background1"/>
      </w:tblBorders>
    </w:tblPr>
    <w:tcPr>
      <w:shd w:val="clear" w:color="auto" w:fill="EBF4E8" w:themeFill="accent3" w:themeFillTint="19"/>
    </w:tcPr>
    <w:tblStylePr w:type="firstRow">
      <w:rPr>
        <w:b/>
        <w:bCs/>
      </w:rPr>
      <w:tblPr/>
      <w:tcPr>
        <w:tcBorders>
          <w:top w:val="nil"/>
          <w:left w:val="nil"/>
          <w:bottom w:val="single" w:sz="24" w:space="0" w:color="A1983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4621" w:themeFill="accent3" w:themeFillShade="99"/>
      </w:tcPr>
    </w:tblStylePr>
    <w:tblStylePr w:type="firstCol">
      <w:rPr>
        <w:color w:val="FFFFFF" w:themeColor="background1"/>
      </w:rPr>
      <w:tblPr/>
      <w:tcPr>
        <w:tcBorders>
          <w:top w:val="nil"/>
          <w:left w:val="nil"/>
          <w:bottom w:val="nil"/>
          <w:right w:val="nil"/>
          <w:insideH w:val="single" w:sz="4" w:space="0" w:color="2B4621" w:themeColor="accent3" w:themeShade="99"/>
          <w:insideV w:val="nil"/>
        </w:tcBorders>
        <w:shd w:val="clear" w:color="auto" w:fill="2B462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B4621" w:themeFill="accent3" w:themeFillShade="99"/>
      </w:tcPr>
    </w:tblStylePr>
    <w:tblStylePr w:type="band1Vert">
      <w:tblPr/>
      <w:tcPr>
        <w:shd w:val="clear" w:color="auto" w:fill="B1D3A2" w:themeFill="accent3" w:themeFillTint="66"/>
      </w:tcPr>
    </w:tblStylePr>
    <w:tblStylePr w:type="band1Horz">
      <w:tblPr/>
      <w:tcPr>
        <w:shd w:val="clear" w:color="auto" w:fill="9DC98C" w:themeFill="accent3" w:themeFillTint="7F"/>
      </w:tcPr>
    </w:tblStylePr>
  </w:style>
  <w:style w:type="table" w:styleId="ColorfulShading-Accent4">
    <w:name w:val="Colorful Shading Accent 4"/>
    <w:basedOn w:val="TableNormal"/>
    <w:uiPriority w:val="71"/>
    <w:rsid w:val="008552F5"/>
    <w:pPr>
      <w:spacing w:after="0" w:line="240" w:lineRule="auto"/>
    </w:pPr>
    <w:rPr>
      <w:color w:val="9B9795" w:themeColor="text1"/>
    </w:rPr>
    <w:tblPr>
      <w:tblStyleRowBandSize w:val="1"/>
      <w:tblStyleColBandSize w:val="1"/>
      <w:tblBorders>
        <w:top w:val="single" w:sz="24" w:space="0" w:color="497537" w:themeColor="accent3"/>
        <w:left w:val="single" w:sz="4" w:space="0" w:color="A19836" w:themeColor="accent4"/>
        <w:bottom w:val="single" w:sz="4" w:space="0" w:color="A19836" w:themeColor="accent4"/>
        <w:right w:val="single" w:sz="4" w:space="0" w:color="A19836" w:themeColor="accent4"/>
        <w:insideH w:val="single" w:sz="4" w:space="0" w:color="FFFFFF" w:themeColor="background1"/>
        <w:insideV w:val="single" w:sz="4" w:space="0" w:color="FFFFFF" w:themeColor="background1"/>
      </w:tblBorders>
    </w:tblPr>
    <w:tcPr>
      <w:shd w:val="clear" w:color="auto" w:fill="F7F6E9" w:themeFill="accent4" w:themeFillTint="19"/>
    </w:tcPr>
    <w:tblStylePr w:type="firstRow">
      <w:rPr>
        <w:b/>
        <w:bCs/>
      </w:rPr>
      <w:tblPr/>
      <w:tcPr>
        <w:tcBorders>
          <w:top w:val="nil"/>
          <w:left w:val="nil"/>
          <w:bottom w:val="single" w:sz="24" w:space="0" w:color="49753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20" w:themeFill="accent4" w:themeFillShade="99"/>
      </w:tcPr>
    </w:tblStylePr>
    <w:tblStylePr w:type="firstCol">
      <w:rPr>
        <w:color w:val="FFFFFF" w:themeColor="background1"/>
      </w:rPr>
      <w:tblPr/>
      <w:tcPr>
        <w:tcBorders>
          <w:top w:val="nil"/>
          <w:left w:val="nil"/>
          <w:bottom w:val="nil"/>
          <w:right w:val="nil"/>
          <w:insideH w:val="single" w:sz="4" w:space="0" w:color="605A20" w:themeColor="accent4" w:themeShade="99"/>
          <w:insideV w:val="nil"/>
        </w:tcBorders>
        <w:shd w:val="clear" w:color="auto" w:fill="605A2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05A20" w:themeFill="accent4" w:themeFillShade="99"/>
      </w:tcPr>
    </w:tblStylePr>
    <w:tblStylePr w:type="band1Vert">
      <w:tblPr/>
      <w:tcPr>
        <w:shd w:val="clear" w:color="auto" w:fill="E1DCA6" w:themeFill="accent4" w:themeFillTint="66"/>
      </w:tcPr>
    </w:tblStylePr>
    <w:tblStylePr w:type="band1Horz">
      <w:tblPr/>
      <w:tcPr>
        <w:shd w:val="clear" w:color="auto" w:fill="DAD390" w:themeFill="accent4" w:themeFillTint="7F"/>
      </w:tcPr>
    </w:tblStylePr>
    <w:tblStylePr w:type="neCell">
      <w:rPr>
        <w:color w:val="9B9795" w:themeColor="text1"/>
      </w:rPr>
    </w:tblStylePr>
    <w:tblStylePr w:type="nwCell">
      <w:rPr>
        <w:color w:val="9B9795" w:themeColor="text1"/>
      </w:rPr>
    </w:tblStylePr>
  </w:style>
  <w:style w:type="table" w:styleId="ColorfulShading-Accent5">
    <w:name w:val="Colorful Shading Accent 5"/>
    <w:basedOn w:val="TableNormal"/>
    <w:uiPriority w:val="71"/>
    <w:rsid w:val="008552F5"/>
    <w:pPr>
      <w:spacing w:after="0" w:line="240" w:lineRule="auto"/>
    </w:pPr>
    <w:rPr>
      <w:color w:val="9B9795" w:themeColor="text1"/>
    </w:rPr>
    <w:tblPr>
      <w:tblStyleRowBandSize w:val="1"/>
      <w:tblStyleColBandSize w:val="1"/>
      <w:tblBorders>
        <w:top w:val="single" w:sz="24" w:space="0" w:color="F1AF1A" w:themeColor="accent6"/>
        <w:left w:val="single" w:sz="4" w:space="0" w:color="753749" w:themeColor="accent5"/>
        <w:bottom w:val="single" w:sz="4" w:space="0" w:color="753749" w:themeColor="accent5"/>
        <w:right w:val="single" w:sz="4" w:space="0" w:color="753749" w:themeColor="accent5"/>
        <w:insideH w:val="single" w:sz="4" w:space="0" w:color="FFFFFF" w:themeColor="background1"/>
        <w:insideV w:val="single" w:sz="4" w:space="0" w:color="FFFFFF" w:themeColor="background1"/>
      </w:tblBorders>
    </w:tblPr>
    <w:tcPr>
      <w:shd w:val="clear" w:color="auto" w:fill="F4E8EB" w:themeFill="accent5" w:themeFillTint="19"/>
    </w:tcPr>
    <w:tblStylePr w:type="firstRow">
      <w:rPr>
        <w:b/>
        <w:bCs/>
      </w:rPr>
      <w:tblPr/>
      <w:tcPr>
        <w:tcBorders>
          <w:top w:val="nil"/>
          <w:left w:val="nil"/>
          <w:bottom w:val="single" w:sz="24" w:space="0" w:color="F1AF1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212B" w:themeFill="accent5" w:themeFillShade="99"/>
      </w:tcPr>
    </w:tblStylePr>
    <w:tblStylePr w:type="firstCol">
      <w:rPr>
        <w:color w:val="FFFFFF" w:themeColor="background1"/>
      </w:rPr>
      <w:tblPr/>
      <w:tcPr>
        <w:tcBorders>
          <w:top w:val="nil"/>
          <w:left w:val="nil"/>
          <w:bottom w:val="nil"/>
          <w:right w:val="nil"/>
          <w:insideH w:val="single" w:sz="4" w:space="0" w:color="46212B" w:themeColor="accent5" w:themeShade="99"/>
          <w:insideV w:val="nil"/>
        </w:tcBorders>
        <w:shd w:val="clear" w:color="auto" w:fill="46212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212B" w:themeFill="accent5" w:themeFillShade="99"/>
      </w:tcPr>
    </w:tblStylePr>
    <w:tblStylePr w:type="band1Vert">
      <w:tblPr/>
      <w:tcPr>
        <w:shd w:val="clear" w:color="auto" w:fill="D3A2B1" w:themeFill="accent5" w:themeFillTint="66"/>
      </w:tcPr>
    </w:tblStylePr>
    <w:tblStylePr w:type="band1Horz">
      <w:tblPr/>
      <w:tcPr>
        <w:shd w:val="clear" w:color="auto" w:fill="C98C9D" w:themeFill="accent5" w:themeFillTint="7F"/>
      </w:tcPr>
    </w:tblStylePr>
    <w:tblStylePr w:type="neCell">
      <w:rPr>
        <w:color w:val="9B9795" w:themeColor="text1"/>
      </w:rPr>
    </w:tblStylePr>
    <w:tblStylePr w:type="nwCell">
      <w:rPr>
        <w:color w:val="9B9795" w:themeColor="text1"/>
      </w:rPr>
    </w:tblStylePr>
  </w:style>
  <w:style w:type="table" w:styleId="ColorfulShading-Accent6">
    <w:name w:val="Colorful Shading Accent 6"/>
    <w:basedOn w:val="TableNormal"/>
    <w:uiPriority w:val="71"/>
    <w:rsid w:val="008552F5"/>
    <w:pPr>
      <w:spacing w:after="0" w:line="240" w:lineRule="auto"/>
    </w:pPr>
    <w:rPr>
      <w:color w:val="9B9795" w:themeColor="text1"/>
    </w:rPr>
    <w:tblPr>
      <w:tblStyleRowBandSize w:val="1"/>
      <w:tblStyleColBandSize w:val="1"/>
      <w:tblBorders>
        <w:top w:val="single" w:sz="24" w:space="0" w:color="753749" w:themeColor="accent5"/>
        <w:left w:val="single" w:sz="4" w:space="0" w:color="F1AF1A" w:themeColor="accent6"/>
        <w:bottom w:val="single" w:sz="4" w:space="0" w:color="F1AF1A" w:themeColor="accent6"/>
        <w:right w:val="single" w:sz="4" w:space="0" w:color="F1AF1A" w:themeColor="accent6"/>
        <w:insideH w:val="single" w:sz="4" w:space="0" w:color="FFFFFF" w:themeColor="background1"/>
        <w:insideV w:val="single" w:sz="4" w:space="0" w:color="FFFFFF" w:themeColor="background1"/>
      </w:tblBorders>
    </w:tblPr>
    <w:tcPr>
      <w:shd w:val="clear" w:color="auto" w:fill="FDF7E8" w:themeFill="accent6" w:themeFillTint="19"/>
    </w:tcPr>
    <w:tblStylePr w:type="firstRow">
      <w:rPr>
        <w:b/>
        <w:bCs/>
      </w:rPr>
      <w:tblPr/>
      <w:tcPr>
        <w:tcBorders>
          <w:top w:val="nil"/>
          <w:left w:val="nil"/>
          <w:bottom w:val="single" w:sz="24" w:space="0" w:color="75374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66A09" w:themeFill="accent6" w:themeFillShade="99"/>
      </w:tcPr>
    </w:tblStylePr>
    <w:tblStylePr w:type="firstCol">
      <w:rPr>
        <w:color w:val="FFFFFF" w:themeColor="background1"/>
      </w:rPr>
      <w:tblPr/>
      <w:tcPr>
        <w:tcBorders>
          <w:top w:val="nil"/>
          <w:left w:val="nil"/>
          <w:bottom w:val="nil"/>
          <w:right w:val="nil"/>
          <w:insideH w:val="single" w:sz="4" w:space="0" w:color="966A09" w:themeColor="accent6" w:themeShade="99"/>
          <w:insideV w:val="nil"/>
        </w:tcBorders>
        <w:shd w:val="clear" w:color="auto" w:fill="966A0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66A09" w:themeFill="accent6" w:themeFillShade="99"/>
      </w:tcPr>
    </w:tblStylePr>
    <w:tblStylePr w:type="band1Vert">
      <w:tblPr/>
      <w:tcPr>
        <w:shd w:val="clear" w:color="auto" w:fill="F9DEA3" w:themeFill="accent6" w:themeFillTint="66"/>
      </w:tcPr>
    </w:tblStylePr>
    <w:tblStylePr w:type="band1Horz">
      <w:tblPr/>
      <w:tcPr>
        <w:shd w:val="clear" w:color="auto" w:fill="F8D68C" w:themeFill="accent6" w:themeFillTint="7F"/>
      </w:tcPr>
    </w:tblStylePr>
    <w:tblStylePr w:type="neCell">
      <w:rPr>
        <w:color w:val="9B9795" w:themeColor="text1"/>
      </w:rPr>
    </w:tblStylePr>
    <w:tblStylePr w:type="nwCell">
      <w:rPr>
        <w:color w:val="9B9795" w:themeColor="text1"/>
      </w:rPr>
    </w:tblStylePr>
  </w:style>
  <w:style w:type="character" w:styleId="CommentReference">
    <w:name w:val="annotation reference"/>
    <w:uiPriority w:val="19"/>
    <w:semiHidden/>
    <w:rsid w:val="00AF2717"/>
    <w:rPr>
      <w:sz w:val="16"/>
      <w:szCs w:val="16"/>
    </w:rPr>
  </w:style>
  <w:style w:type="paragraph" w:styleId="CommentSubject">
    <w:name w:val="annotation subject"/>
    <w:basedOn w:val="CommentText"/>
    <w:next w:val="CommentText"/>
    <w:link w:val="CommentSubjectChar"/>
    <w:uiPriority w:val="19"/>
    <w:semiHidden/>
    <w:rsid w:val="00AF2717"/>
    <w:rPr>
      <w:b/>
      <w:bCs/>
    </w:rPr>
  </w:style>
  <w:style w:type="character" w:customStyle="1" w:styleId="CommentSubjectChar">
    <w:name w:val="Comment Subject Char"/>
    <w:basedOn w:val="CommentTextChar"/>
    <w:link w:val="CommentSubject"/>
    <w:uiPriority w:val="19"/>
    <w:semiHidden/>
    <w:rsid w:val="00284A93"/>
    <w:rPr>
      <w:rFonts w:ascii="Calibri" w:eastAsia="Times New Roman" w:hAnsi="Calibri" w:cs="Times New Roman"/>
      <w:b/>
      <w:bCs/>
      <w:sz w:val="22"/>
    </w:rPr>
  </w:style>
  <w:style w:type="table" w:styleId="DarkList">
    <w:name w:val="Dark List"/>
    <w:basedOn w:val="TableNormal"/>
    <w:uiPriority w:val="70"/>
    <w:rsid w:val="008552F5"/>
    <w:pPr>
      <w:spacing w:after="0" w:line="240" w:lineRule="auto"/>
    </w:pPr>
    <w:rPr>
      <w:color w:val="FFFFFF" w:themeColor="background1"/>
    </w:rPr>
    <w:tblPr>
      <w:tblStyleRowBandSize w:val="1"/>
      <w:tblStyleColBandSize w:val="1"/>
    </w:tblPr>
    <w:tcPr>
      <w:shd w:val="clear" w:color="auto" w:fill="9B9795" w:themeFill="text1"/>
    </w:tcPr>
    <w:tblStylePr w:type="firstRow">
      <w:rPr>
        <w:b/>
        <w:bCs/>
      </w:rPr>
      <w:tblPr/>
      <w:tcPr>
        <w:tcBorders>
          <w:top w:val="nil"/>
          <w:left w:val="nil"/>
          <w:bottom w:val="single" w:sz="18" w:space="0" w:color="FFFFFF" w:themeColor="background1"/>
          <w:right w:val="nil"/>
          <w:insideH w:val="nil"/>
          <w:insideV w:val="nil"/>
        </w:tcBorders>
        <w:shd w:val="clear" w:color="auto" w:fill="9B9795" w:themeFill="text1"/>
      </w:tcPr>
    </w:tblStylePr>
    <w:tblStylePr w:type="lastRow">
      <w:tblPr/>
      <w:tcPr>
        <w:tcBorders>
          <w:top w:val="single" w:sz="18" w:space="0" w:color="FFFFFF" w:themeColor="background1"/>
          <w:left w:val="nil"/>
          <w:bottom w:val="nil"/>
          <w:right w:val="nil"/>
          <w:insideH w:val="nil"/>
          <w:insideV w:val="nil"/>
        </w:tcBorders>
        <w:shd w:val="clear" w:color="auto" w:fill="4D4A49"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75706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75706E" w:themeFill="text1" w:themeFillShade="BF"/>
      </w:tcPr>
    </w:tblStylePr>
    <w:tblStylePr w:type="band1Vert">
      <w:tblPr/>
      <w:tcPr>
        <w:tcBorders>
          <w:top w:val="nil"/>
          <w:left w:val="nil"/>
          <w:bottom w:val="nil"/>
          <w:right w:val="nil"/>
          <w:insideH w:val="nil"/>
          <w:insideV w:val="nil"/>
        </w:tcBorders>
        <w:shd w:val="clear" w:color="auto" w:fill="75706E" w:themeFill="text1" w:themeFillShade="BF"/>
      </w:tcPr>
    </w:tblStylePr>
    <w:tblStylePr w:type="band1Horz">
      <w:tblPr/>
      <w:tcPr>
        <w:tcBorders>
          <w:top w:val="nil"/>
          <w:left w:val="nil"/>
          <w:bottom w:val="nil"/>
          <w:right w:val="nil"/>
          <w:insideH w:val="nil"/>
          <w:insideV w:val="nil"/>
        </w:tcBorders>
        <w:shd w:val="clear" w:color="auto" w:fill="75706E" w:themeFill="text1" w:themeFillShade="BF"/>
      </w:tcPr>
    </w:tblStylePr>
  </w:style>
  <w:style w:type="table" w:styleId="DarkList-Accent1">
    <w:name w:val="Dark List Accent 1"/>
    <w:basedOn w:val="TableNormal"/>
    <w:uiPriority w:val="70"/>
    <w:rsid w:val="008552F5"/>
    <w:pPr>
      <w:spacing w:after="0" w:line="240" w:lineRule="auto"/>
    </w:pPr>
    <w:rPr>
      <w:color w:val="FFFFFF" w:themeColor="background1"/>
    </w:rPr>
    <w:tblPr>
      <w:tblStyleRowBandSize w:val="1"/>
      <w:tblStyleColBandSize w:val="1"/>
    </w:tblPr>
    <w:tcPr>
      <w:shd w:val="clear" w:color="auto" w:fill="9B979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9B9795" w:themeFill="text1"/>
      </w:tcPr>
    </w:tblStylePr>
    <w:tblStylePr w:type="lastRow">
      <w:tblPr/>
      <w:tcPr>
        <w:tcBorders>
          <w:top w:val="single" w:sz="18" w:space="0" w:color="FFFFFF" w:themeColor="background1"/>
          <w:left w:val="nil"/>
          <w:bottom w:val="nil"/>
          <w:right w:val="nil"/>
          <w:insideH w:val="nil"/>
          <w:insideV w:val="nil"/>
        </w:tcBorders>
        <w:shd w:val="clear" w:color="auto" w:fill="4D4A4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5706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5706E" w:themeFill="accent1" w:themeFillShade="BF"/>
      </w:tcPr>
    </w:tblStylePr>
    <w:tblStylePr w:type="band1Vert">
      <w:tblPr/>
      <w:tcPr>
        <w:tcBorders>
          <w:top w:val="nil"/>
          <w:left w:val="nil"/>
          <w:bottom w:val="nil"/>
          <w:right w:val="nil"/>
          <w:insideH w:val="nil"/>
          <w:insideV w:val="nil"/>
        </w:tcBorders>
        <w:shd w:val="clear" w:color="auto" w:fill="75706E" w:themeFill="accent1" w:themeFillShade="BF"/>
      </w:tcPr>
    </w:tblStylePr>
    <w:tblStylePr w:type="band1Horz">
      <w:tblPr/>
      <w:tcPr>
        <w:tcBorders>
          <w:top w:val="nil"/>
          <w:left w:val="nil"/>
          <w:bottom w:val="nil"/>
          <w:right w:val="nil"/>
          <w:insideH w:val="nil"/>
          <w:insideV w:val="nil"/>
        </w:tcBorders>
        <w:shd w:val="clear" w:color="auto" w:fill="75706E" w:themeFill="accent1" w:themeFillShade="BF"/>
      </w:tcPr>
    </w:tblStylePr>
  </w:style>
  <w:style w:type="table" w:styleId="DarkList-Accent2">
    <w:name w:val="Dark List Accent 2"/>
    <w:basedOn w:val="TableNormal"/>
    <w:uiPriority w:val="70"/>
    <w:rsid w:val="008552F5"/>
    <w:pPr>
      <w:spacing w:after="0" w:line="240" w:lineRule="auto"/>
    </w:pPr>
    <w:rPr>
      <w:color w:val="FFFFFF" w:themeColor="background1"/>
    </w:rPr>
    <w:tblPr>
      <w:tblStyleRowBandSize w:val="1"/>
      <w:tblStyleColBandSize w:val="1"/>
    </w:tblPr>
    <w:tcPr>
      <w:shd w:val="clear" w:color="auto" w:fill="CE762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9B9795" w:themeFill="text1"/>
      </w:tcPr>
    </w:tblStylePr>
    <w:tblStylePr w:type="lastRow">
      <w:tblPr/>
      <w:tcPr>
        <w:tcBorders>
          <w:top w:val="single" w:sz="18" w:space="0" w:color="FFFFFF" w:themeColor="background1"/>
          <w:left w:val="nil"/>
          <w:bottom w:val="nil"/>
          <w:right w:val="nil"/>
          <w:insideH w:val="nil"/>
          <w:insideV w:val="nil"/>
        </w:tcBorders>
        <w:shd w:val="clear" w:color="auto" w:fill="663A1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A571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A571E" w:themeFill="accent2" w:themeFillShade="BF"/>
      </w:tcPr>
    </w:tblStylePr>
    <w:tblStylePr w:type="band1Vert">
      <w:tblPr/>
      <w:tcPr>
        <w:tcBorders>
          <w:top w:val="nil"/>
          <w:left w:val="nil"/>
          <w:bottom w:val="nil"/>
          <w:right w:val="nil"/>
          <w:insideH w:val="nil"/>
          <w:insideV w:val="nil"/>
        </w:tcBorders>
        <w:shd w:val="clear" w:color="auto" w:fill="9A571E" w:themeFill="accent2" w:themeFillShade="BF"/>
      </w:tcPr>
    </w:tblStylePr>
    <w:tblStylePr w:type="band1Horz">
      <w:tblPr/>
      <w:tcPr>
        <w:tcBorders>
          <w:top w:val="nil"/>
          <w:left w:val="nil"/>
          <w:bottom w:val="nil"/>
          <w:right w:val="nil"/>
          <w:insideH w:val="nil"/>
          <w:insideV w:val="nil"/>
        </w:tcBorders>
        <w:shd w:val="clear" w:color="auto" w:fill="9A571E" w:themeFill="accent2" w:themeFillShade="BF"/>
      </w:tcPr>
    </w:tblStylePr>
  </w:style>
  <w:style w:type="table" w:styleId="DarkList-Accent3">
    <w:name w:val="Dark List Accent 3"/>
    <w:basedOn w:val="TableNormal"/>
    <w:uiPriority w:val="70"/>
    <w:rsid w:val="008552F5"/>
    <w:pPr>
      <w:spacing w:after="0" w:line="240" w:lineRule="auto"/>
    </w:pPr>
    <w:rPr>
      <w:color w:val="FFFFFF" w:themeColor="background1"/>
    </w:rPr>
    <w:tblPr>
      <w:tblStyleRowBandSize w:val="1"/>
      <w:tblStyleColBandSize w:val="1"/>
    </w:tblPr>
    <w:tcPr>
      <w:shd w:val="clear" w:color="auto" w:fill="49753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9B9795" w:themeFill="text1"/>
      </w:tcPr>
    </w:tblStylePr>
    <w:tblStylePr w:type="lastRow">
      <w:tblPr/>
      <w:tcPr>
        <w:tcBorders>
          <w:top w:val="single" w:sz="18" w:space="0" w:color="FFFFFF" w:themeColor="background1"/>
          <w:left w:val="nil"/>
          <w:bottom w:val="nil"/>
          <w:right w:val="nil"/>
          <w:insideH w:val="nil"/>
          <w:insideV w:val="nil"/>
        </w:tcBorders>
        <w:shd w:val="clear" w:color="auto" w:fill="243A1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6572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65729" w:themeFill="accent3" w:themeFillShade="BF"/>
      </w:tcPr>
    </w:tblStylePr>
    <w:tblStylePr w:type="band1Vert">
      <w:tblPr/>
      <w:tcPr>
        <w:tcBorders>
          <w:top w:val="nil"/>
          <w:left w:val="nil"/>
          <w:bottom w:val="nil"/>
          <w:right w:val="nil"/>
          <w:insideH w:val="nil"/>
          <w:insideV w:val="nil"/>
        </w:tcBorders>
        <w:shd w:val="clear" w:color="auto" w:fill="365729" w:themeFill="accent3" w:themeFillShade="BF"/>
      </w:tcPr>
    </w:tblStylePr>
    <w:tblStylePr w:type="band1Horz">
      <w:tblPr/>
      <w:tcPr>
        <w:tcBorders>
          <w:top w:val="nil"/>
          <w:left w:val="nil"/>
          <w:bottom w:val="nil"/>
          <w:right w:val="nil"/>
          <w:insideH w:val="nil"/>
          <w:insideV w:val="nil"/>
        </w:tcBorders>
        <w:shd w:val="clear" w:color="auto" w:fill="365729" w:themeFill="accent3" w:themeFillShade="BF"/>
      </w:tcPr>
    </w:tblStylePr>
  </w:style>
  <w:style w:type="table" w:styleId="DarkList-Accent4">
    <w:name w:val="Dark List Accent 4"/>
    <w:basedOn w:val="TableNormal"/>
    <w:uiPriority w:val="70"/>
    <w:rsid w:val="008552F5"/>
    <w:pPr>
      <w:spacing w:after="0" w:line="240" w:lineRule="auto"/>
    </w:pPr>
    <w:rPr>
      <w:color w:val="FFFFFF" w:themeColor="background1"/>
    </w:rPr>
    <w:tblPr>
      <w:tblStyleRowBandSize w:val="1"/>
      <w:tblStyleColBandSize w:val="1"/>
    </w:tblPr>
    <w:tcPr>
      <w:shd w:val="clear" w:color="auto" w:fill="A1983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9B9795" w:themeFill="text1"/>
      </w:tcPr>
    </w:tblStylePr>
    <w:tblStylePr w:type="lastRow">
      <w:tblPr/>
      <w:tcPr>
        <w:tcBorders>
          <w:top w:val="single" w:sz="18" w:space="0" w:color="FFFFFF" w:themeColor="background1"/>
          <w:left w:val="nil"/>
          <w:bottom w:val="nil"/>
          <w:right w:val="nil"/>
          <w:insideH w:val="nil"/>
          <w:insideV w:val="nil"/>
        </w:tcBorders>
        <w:shd w:val="clear" w:color="auto" w:fill="504B1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8712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87128" w:themeFill="accent4" w:themeFillShade="BF"/>
      </w:tcPr>
    </w:tblStylePr>
    <w:tblStylePr w:type="band1Vert">
      <w:tblPr/>
      <w:tcPr>
        <w:tcBorders>
          <w:top w:val="nil"/>
          <w:left w:val="nil"/>
          <w:bottom w:val="nil"/>
          <w:right w:val="nil"/>
          <w:insideH w:val="nil"/>
          <w:insideV w:val="nil"/>
        </w:tcBorders>
        <w:shd w:val="clear" w:color="auto" w:fill="787128" w:themeFill="accent4" w:themeFillShade="BF"/>
      </w:tcPr>
    </w:tblStylePr>
    <w:tblStylePr w:type="band1Horz">
      <w:tblPr/>
      <w:tcPr>
        <w:tcBorders>
          <w:top w:val="nil"/>
          <w:left w:val="nil"/>
          <w:bottom w:val="nil"/>
          <w:right w:val="nil"/>
          <w:insideH w:val="nil"/>
          <w:insideV w:val="nil"/>
        </w:tcBorders>
        <w:shd w:val="clear" w:color="auto" w:fill="787128" w:themeFill="accent4" w:themeFillShade="BF"/>
      </w:tcPr>
    </w:tblStylePr>
  </w:style>
  <w:style w:type="table" w:styleId="DarkList-Accent5">
    <w:name w:val="Dark List Accent 5"/>
    <w:basedOn w:val="TableNormal"/>
    <w:uiPriority w:val="70"/>
    <w:rsid w:val="008552F5"/>
    <w:pPr>
      <w:spacing w:after="0" w:line="240" w:lineRule="auto"/>
    </w:pPr>
    <w:rPr>
      <w:color w:val="FFFFFF" w:themeColor="background1"/>
    </w:rPr>
    <w:tblPr>
      <w:tblStyleRowBandSize w:val="1"/>
      <w:tblStyleColBandSize w:val="1"/>
    </w:tblPr>
    <w:tcPr>
      <w:shd w:val="clear" w:color="auto" w:fill="75374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9B9795" w:themeFill="text1"/>
      </w:tcPr>
    </w:tblStylePr>
    <w:tblStylePr w:type="lastRow">
      <w:tblPr/>
      <w:tcPr>
        <w:tcBorders>
          <w:top w:val="single" w:sz="18" w:space="0" w:color="FFFFFF" w:themeColor="background1"/>
          <w:left w:val="nil"/>
          <w:bottom w:val="nil"/>
          <w:right w:val="nil"/>
          <w:insideH w:val="nil"/>
          <w:insideV w:val="nil"/>
        </w:tcBorders>
        <w:shd w:val="clear" w:color="auto" w:fill="3A1B2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293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2936" w:themeFill="accent5" w:themeFillShade="BF"/>
      </w:tcPr>
    </w:tblStylePr>
    <w:tblStylePr w:type="band1Vert">
      <w:tblPr/>
      <w:tcPr>
        <w:tcBorders>
          <w:top w:val="nil"/>
          <w:left w:val="nil"/>
          <w:bottom w:val="nil"/>
          <w:right w:val="nil"/>
          <w:insideH w:val="nil"/>
          <w:insideV w:val="nil"/>
        </w:tcBorders>
        <w:shd w:val="clear" w:color="auto" w:fill="572936" w:themeFill="accent5" w:themeFillShade="BF"/>
      </w:tcPr>
    </w:tblStylePr>
    <w:tblStylePr w:type="band1Horz">
      <w:tblPr/>
      <w:tcPr>
        <w:tcBorders>
          <w:top w:val="nil"/>
          <w:left w:val="nil"/>
          <w:bottom w:val="nil"/>
          <w:right w:val="nil"/>
          <w:insideH w:val="nil"/>
          <w:insideV w:val="nil"/>
        </w:tcBorders>
        <w:shd w:val="clear" w:color="auto" w:fill="572936" w:themeFill="accent5" w:themeFillShade="BF"/>
      </w:tcPr>
    </w:tblStylePr>
  </w:style>
  <w:style w:type="table" w:styleId="DarkList-Accent6">
    <w:name w:val="Dark List Accent 6"/>
    <w:basedOn w:val="TableNormal"/>
    <w:uiPriority w:val="70"/>
    <w:rsid w:val="008552F5"/>
    <w:pPr>
      <w:spacing w:after="0" w:line="240" w:lineRule="auto"/>
    </w:pPr>
    <w:rPr>
      <w:color w:val="FFFFFF" w:themeColor="background1"/>
    </w:rPr>
    <w:tblPr>
      <w:tblStyleRowBandSize w:val="1"/>
      <w:tblStyleColBandSize w:val="1"/>
    </w:tblPr>
    <w:tcPr>
      <w:shd w:val="clear" w:color="auto" w:fill="F1AF1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9B9795" w:themeFill="text1"/>
      </w:tcPr>
    </w:tblStylePr>
    <w:tblStylePr w:type="lastRow">
      <w:tblPr/>
      <w:tcPr>
        <w:tcBorders>
          <w:top w:val="single" w:sz="18" w:space="0" w:color="FFFFFF" w:themeColor="background1"/>
          <w:left w:val="nil"/>
          <w:bottom w:val="nil"/>
          <w:right w:val="nil"/>
          <w:insideH w:val="nil"/>
          <w:insideV w:val="nil"/>
        </w:tcBorders>
        <w:shd w:val="clear" w:color="auto" w:fill="7C580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C850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C850B" w:themeFill="accent6" w:themeFillShade="BF"/>
      </w:tcPr>
    </w:tblStylePr>
    <w:tblStylePr w:type="band1Vert">
      <w:tblPr/>
      <w:tcPr>
        <w:tcBorders>
          <w:top w:val="nil"/>
          <w:left w:val="nil"/>
          <w:bottom w:val="nil"/>
          <w:right w:val="nil"/>
          <w:insideH w:val="nil"/>
          <w:insideV w:val="nil"/>
        </w:tcBorders>
        <w:shd w:val="clear" w:color="auto" w:fill="BC850B" w:themeFill="accent6" w:themeFillShade="BF"/>
      </w:tcPr>
    </w:tblStylePr>
    <w:tblStylePr w:type="band1Horz">
      <w:tblPr/>
      <w:tcPr>
        <w:tcBorders>
          <w:top w:val="nil"/>
          <w:left w:val="nil"/>
          <w:bottom w:val="nil"/>
          <w:right w:val="nil"/>
          <w:insideH w:val="nil"/>
          <w:insideV w:val="nil"/>
        </w:tcBorders>
        <w:shd w:val="clear" w:color="auto" w:fill="BC850B" w:themeFill="accent6" w:themeFillShade="BF"/>
      </w:tcPr>
    </w:tblStylePr>
  </w:style>
  <w:style w:type="paragraph" w:styleId="DocumentMap">
    <w:name w:val="Document Map"/>
    <w:basedOn w:val="Normal"/>
    <w:link w:val="DocumentMapChar"/>
    <w:uiPriority w:val="99"/>
    <w:semiHidden/>
    <w:unhideWhenUsed/>
    <w:rsid w:val="00B200AF"/>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B200AF"/>
    <w:rPr>
      <w:rFonts w:ascii="Tahoma" w:hAnsi="Tahoma" w:cs="Tahoma"/>
      <w:sz w:val="16"/>
      <w:szCs w:val="16"/>
      <w:lang w:val="en-AU"/>
    </w:rPr>
  </w:style>
  <w:style w:type="paragraph" w:styleId="E-mailSignature">
    <w:name w:val="E-mail Signature"/>
    <w:basedOn w:val="Normal"/>
    <w:link w:val="E-mailSignatureChar"/>
    <w:uiPriority w:val="99"/>
    <w:semiHidden/>
    <w:unhideWhenUsed/>
    <w:rsid w:val="00B200AF"/>
    <w:pPr>
      <w:spacing w:after="0"/>
    </w:pPr>
  </w:style>
  <w:style w:type="character" w:customStyle="1" w:styleId="E-mailSignatureChar">
    <w:name w:val="E-mail Signature Char"/>
    <w:basedOn w:val="DefaultParagraphFont"/>
    <w:link w:val="E-mailSignature"/>
    <w:uiPriority w:val="99"/>
    <w:semiHidden/>
    <w:rsid w:val="00B200AF"/>
    <w:rPr>
      <w:rFonts w:ascii="Arial" w:hAnsi="Arial"/>
      <w:sz w:val="20"/>
      <w:lang w:val="en-AU"/>
    </w:rPr>
  </w:style>
  <w:style w:type="character" w:styleId="Emphasis">
    <w:name w:val="Emphasis"/>
    <w:basedOn w:val="DefaultParagraphFont"/>
    <w:uiPriority w:val="20"/>
    <w:semiHidden/>
    <w:qFormat/>
    <w:rsid w:val="00840060"/>
    <w:rPr>
      <w:i/>
      <w:iCs/>
    </w:rPr>
  </w:style>
  <w:style w:type="character" w:styleId="EndnoteReference">
    <w:name w:val="endnote reference"/>
    <w:basedOn w:val="DefaultParagraphFont"/>
    <w:uiPriority w:val="99"/>
    <w:semiHidden/>
    <w:unhideWhenUsed/>
    <w:rsid w:val="00B200AF"/>
    <w:rPr>
      <w:vertAlign w:val="superscript"/>
    </w:rPr>
  </w:style>
  <w:style w:type="paragraph" w:styleId="EndnoteText">
    <w:name w:val="endnote text"/>
    <w:basedOn w:val="Normal"/>
    <w:link w:val="EndnoteTextChar"/>
    <w:uiPriority w:val="99"/>
    <w:semiHidden/>
    <w:unhideWhenUsed/>
    <w:rsid w:val="00B200AF"/>
    <w:pPr>
      <w:spacing w:after="0"/>
    </w:pPr>
  </w:style>
  <w:style w:type="character" w:customStyle="1" w:styleId="EndnoteTextChar">
    <w:name w:val="Endnote Text Char"/>
    <w:basedOn w:val="DefaultParagraphFont"/>
    <w:link w:val="EndnoteText"/>
    <w:uiPriority w:val="99"/>
    <w:semiHidden/>
    <w:rsid w:val="00B200AF"/>
    <w:rPr>
      <w:rFonts w:ascii="Arial" w:hAnsi="Arial"/>
      <w:sz w:val="20"/>
      <w:szCs w:val="20"/>
      <w:lang w:val="en-AU"/>
    </w:rPr>
  </w:style>
  <w:style w:type="paragraph" w:styleId="EnvelopeAddress">
    <w:name w:val="envelope address"/>
    <w:basedOn w:val="Normal"/>
    <w:uiPriority w:val="99"/>
    <w:semiHidden/>
    <w:unhideWhenUsed/>
    <w:rsid w:val="00B200A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200AF"/>
    <w:pPr>
      <w:spacing w:after="0"/>
    </w:pPr>
    <w:rPr>
      <w:rFonts w:asciiTheme="majorHAnsi" w:eastAsiaTheme="majorEastAsia" w:hAnsiTheme="majorHAnsi" w:cstheme="majorBidi"/>
    </w:rPr>
  </w:style>
  <w:style w:type="character" w:styleId="FollowedHyperlink">
    <w:name w:val="FollowedHyperlink"/>
    <w:basedOn w:val="DefaultParagraphFont"/>
    <w:uiPriority w:val="99"/>
    <w:semiHidden/>
    <w:rsid w:val="00B200AF"/>
    <w:rPr>
      <w:color w:val="497537" w:themeColor="followedHyperlink"/>
      <w:u w:val="single"/>
    </w:rPr>
  </w:style>
  <w:style w:type="character" w:customStyle="1" w:styleId="Heading5Char">
    <w:name w:val="Heading 5 Char"/>
    <w:aliases w:val="Paragraph Text Char"/>
    <w:link w:val="Heading5"/>
    <w:uiPriority w:val="1"/>
    <w:rsid w:val="00D47CCA"/>
    <w:rPr>
      <w:rFonts w:ascii="Century Gothic" w:eastAsia="Times New Roman" w:hAnsi="Century Gothic" w:cs="Times New Roman"/>
      <w:szCs w:val="44"/>
    </w:rPr>
  </w:style>
  <w:style w:type="character" w:customStyle="1" w:styleId="Heading6Char">
    <w:name w:val="Heading 6 Char"/>
    <w:aliases w:val="level 1 bullet 1 Char"/>
    <w:link w:val="Heading6"/>
    <w:uiPriority w:val="5"/>
    <w:rsid w:val="00A50D95"/>
    <w:rPr>
      <w:rFonts w:ascii="Calibri" w:eastAsia="Times New Roman" w:hAnsi="Calibri" w:cs="Times New Roman"/>
      <w:sz w:val="22"/>
      <w:szCs w:val="44"/>
    </w:rPr>
  </w:style>
  <w:style w:type="character" w:customStyle="1" w:styleId="Heading7Char">
    <w:name w:val="Heading 7 Char"/>
    <w:aliases w:val="Bullet 2 Char"/>
    <w:basedOn w:val="DefaultParagraphFont"/>
    <w:link w:val="Heading7"/>
    <w:uiPriority w:val="5"/>
    <w:rsid w:val="00E93FD0"/>
    <w:rPr>
      <w:rFonts w:ascii="Century Gothic" w:eastAsia="Times New Roman" w:hAnsi="Century Gothic" w:cs="Times New Roman"/>
    </w:rPr>
  </w:style>
  <w:style w:type="character" w:customStyle="1" w:styleId="Heading8Char">
    <w:name w:val="Heading 8 Char"/>
    <w:aliases w:val="Bullet 3 Char"/>
    <w:basedOn w:val="DefaultParagraphFont"/>
    <w:link w:val="Heading8"/>
    <w:uiPriority w:val="5"/>
    <w:rsid w:val="006B5418"/>
    <w:rPr>
      <w:rFonts w:ascii="Calibri" w:eastAsia="Times New Roman" w:hAnsi="Calibri" w:cs="Times New Roman"/>
      <w:sz w:val="22"/>
      <w:szCs w:val="44"/>
    </w:rPr>
  </w:style>
  <w:style w:type="character" w:customStyle="1" w:styleId="Heading9Char">
    <w:name w:val="Heading 9 Char"/>
    <w:aliases w:val="Bullet Heading Char"/>
    <w:basedOn w:val="DefaultParagraphFont"/>
    <w:link w:val="Heading9"/>
    <w:uiPriority w:val="3"/>
    <w:rsid w:val="006B5418"/>
    <w:rPr>
      <w:rFonts w:ascii="Candara" w:eastAsia="Times New Roman" w:hAnsi="Candara" w:cs="Times New Roman"/>
      <w:i/>
      <w:sz w:val="24"/>
    </w:rPr>
  </w:style>
  <w:style w:type="character" w:styleId="HTMLAcronym">
    <w:name w:val="HTML Acronym"/>
    <w:basedOn w:val="DefaultParagraphFont"/>
    <w:uiPriority w:val="99"/>
    <w:semiHidden/>
    <w:unhideWhenUsed/>
    <w:rsid w:val="00B200AF"/>
  </w:style>
  <w:style w:type="paragraph" w:styleId="HTMLAddress">
    <w:name w:val="HTML Address"/>
    <w:basedOn w:val="Normal"/>
    <w:link w:val="HTMLAddressChar"/>
    <w:uiPriority w:val="99"/>
    <w:semiHidden/>
    <w:unhideWhenUsed/>
    <w:rsid w:val="00B200AF"/>
    <w:pPr>
      <w:spacing w:after="0"/>
    </w:pPr>
    <w:rPr>
      <w:i/>
      <w:iCs/>
    </w:rPr>
  </w:style>
  <w:style w:type="character" w:customStyle="1" w:styleId="HTMLAddressChar">
    <w:name w:val="HTML Address Char"/>
    <w:basedOn w:val="DefaultParagraphFont"/>
    <w:link w:val="HTMLAddress"/>
    <w:uiPriority w:val="99"/>
    <w:semiHidden/>
    <w:rsid w:val="00B200AF"/>
    <w:rPr>
      <w:rFonts w:ascii="Arial" w:hAnsi="Arial"/>
      <w:i/>
      <w:iCs/>
      <w:sz w:val="20"/>
      <w:lang w:val="en-AU"/>
    </w:rPr>
  </w:style>
  <w:style w:type="character" w:styleId="HTMLCite">
    <w:name w:val="HTML Cite"/>
    <w:basedOn w:val="DefaultParagraphFont"/>
    <w:uiPriority w:val="99"/>
    <w:semiHidden/>
    <w:unhideWhenUsed/>
    <w:rsid w:val="00B200AF"/>
    <w:rPr>
      <w:i/>
      <w:iCs/>
    </w:rPr>
  </w:style>
  <w:style w:type="character" w:styleId="HTMLCode">
    <w:name w:val="HTML Code"/>
    <w:basedOn w:val="DefaultParagraphFont"/>
    <w:uiPriority w:val="99"/>
    <w:semiHidden/>
    <w:unhideWhenUsed/>
    <w:rsid w:val="00B200AF"/>
    <w:rPr>
      <w:rFonts w:ascii="Consolas" w:hAnsi="Consolas" w:cs="Consolas"/>
      <w:sz w:val="20"/>
      <w:szCs w:val="20"/>
    </w:rPr>
  </w:style>
  <w:style w:type="character" w:styleId="HTMLDefinition">
    <w:name w:val="HTML Definition"/>
    <w:basedOn w:val="DefaultParagraphFont"/>
    <w:uiPriority w:val="99"/>
    <w:semiHidden/>
    <w:unhideWhenUsed/>
    <w:rsid w:val="00B200AF"/>
    <w:rPr>
      <w:i/>
      <w:iCs/>
    </w:rPr>
  </w:style>
  <w:style w:type="character" w:styleId="HTMLKeyboard">
    <w:name w:val="HTML Keyboard"/>
    <w:basedOn w:val="DefaultParagraphFont"/>
    <w:uiPriority w:val="99"/>
    <w:semiHidden/>
    <w:unhideWhenUsed/>
    <w:rsid w:val="00B200AF"/>
    <w:rPr>
      <w:rFonts w:ascii="Consolas" w:hAnsi="Consolas" w:cs="Consolas"/>
      <w:sz w:val="20"/>
      <w:szCs w:val="20"/>
    </w:rPr>
  </w:style>
  <w:style w:type="paragraph" w:styleId="HTMLPreformatted">
    <w:name w:val="HTML Preformatted"/>
    <w:basedOn w:val="Normal"/>
    <w:link w:val="HTMLPreformattedChar"/>
    <w:uiPriority w:val="99"/>
    <w:semiHidden/>
    <w:unhideWhenUsed/>
    <w:rsid w:val="00B200AF"/>
    <w:pPr>
      <w:spacing w:after="0"/>
    </w:pPr>
    <w:rPr>
      <w:rFonts w:ascii="Consolas" w:hAnsi="Consolas" w:cs="Consolas"/>
    </w:rPr>
  </w:style>
  <w:style w:type="character" w:customStyle="1" w:styleId="HTMLPreformattedChar">
    <w:name w:val="HTML Preformatted Char"/>
    <w:basedOn w:val="DefaultParagraphFont"/>
    <w:link w:val="HTMLPreformatted"/>
    <w:uiPriority w:val="99"/>
    <w:semiHidden/>
    <w:rsid w:val="00B200AF"/>
    <w:rPr>
      <w:rFonts w:ascii="Consolas" w:hAnsi="Consolas" w:cs="Consolas"/>
      <w:sz w:val="20"/>
      <w:szCs w:val="20"/>
      <w:lang w:val="en-AU"/>
    </w:rPr>
  </w:style>
  <w:style w:type="character" w:styleId="HTMLSample">
    <w:name w:val="HTML Sample"/>
    <w:basedOn w:val="DefaultParagraphFont"/>
    <w:uiPriority w:val="99"/>
    <w:semiHidden/>
    <w:unhideWhenUsed/>
    <w:rsid w:val="00B200AF"/>
    <w:rPr>
      <w:rFonts w:ascii="Consolas" w:hAnsi="Consolas" w:cs="Consolas"/>
      <w:sz w:val="24"/>
      <w:szCs w:val="24"/>
    </w:rPr>
  </w:style>
  <w:style w:type="character" w:styleId="HTMLTypewriter">
    <w:name w:val="HTML Typewriter"/>
    <w:basedOn w:val="DefaultParagraphFont"/>
    <w:uiPriority w:val="99"/>
    <w:semiHidden/>
    <w:unhideWhenUsed/>
    <w:rsid w:val="00B200AF"/>
    <w:rPr>
      <w:rFonts w:ascii="Consolas" w:hAnsi="Consolas" w:cs="Consolas"/>
      <w:sz w:val="20"/>
      <w:szCs w:val="20"/>
    </w:rPr>
  </w:style>
  <w:style w:type="character" w:styleId="HTMLVariable">
    <w:name w:val="HTML Variable"/>
    <w:basedOn w:val="DefaultParagraphFont"/>
    <w:uiPriority w:val="99"/>
    <w:semiHidden/>
    <w:unhideWhenUsed/>
    <w:rsid w:val="00B200AF"/>
    <w:rPr>
      <w:i/>
      <w:iCs/>
    </w:rPr>
  </w:style>
  <w:style w:type="paragraph" w:styleId="Index1">
    <w:name w:val="index 1"/>
    <w:basedOn w:val="Normal"/>
    <w:next w:val="Normal"/>
    <w:autoRedefine/>
    <w:uiPriority w:val="99"/>
    <w:semiHidden/>
    <w:unhideWhenUsed/>
    <w:rsid w:val="00B200AF"/>
    <w:pPr>
      <w:spacing w:after="0"/>
      <w:ind w:left="220" w:hanging="220"/>
    </w:pPr>
  </w:style>
  <w:style w:type="paragraph" w:styleId="Index2">
    <w:name w:val="index 2"/>
    <w:basedOn w:val="Normal"/>
    <w:next w:val="Normal"/>
    <w:autoRedefine/>
    <w:uiPriority w:val="99"/>
    <w:semiHidden/>
    <w:unhideWhenUsed/>
    <w:rsid w:val="00B200AF"/>
    <w:pPr>
      <w:spacing w:after="0"/>
      <w:ind w:left="440" w:hanging="220"/>
    </w:pPr>
  </w:style>
  <w:style w:type="paragraph" w:styleId="Index3">
    <w:name w:val="index 3"/>
    <w:basedOn w:val="Normal"/>
    <w:next w:val="Normal"/>
    <w:autoRedefine/>
    <w:uiPriority w:val="99"/>
    <w:semiHidden/>
    <w:unhideWhenUsed/>
    <w:rsid w:val="00B200AF"/>
    <w:pPr>
      <w:spacing w:after="0"/>
      <w:ind w:left="660" w:hanging="220"/>
    </w:pPr>
  </w:style>
  <w:style w:type="paragraph" w:styleId="Index4">
    <w:name w:val="index 4"/>
    <w:basedOn w:val="Normal"/>
    <w:next w:val="Normal"/>
    <w:autoRedefine/>
    <w:uiPriority w:val="99"/>
    <w:semiHidden/>
    <w:unhideWhenUsed/>
    <w:rsid w:val="00B200AF"/>
    <w:pPr>
      <w:spacing w:after="0"/>
      <w:ind w:left="880" w:hanging="220"/>
    </w:pPr>
  </w:style>
  <w:style w:type="paragraph" w:styleId="Index5">
    <w:name w:val="index 5"/>
    <w:basedOn w:val="Normal"/>
    <w:next w:val="Normal"/>
    <w:autoRedefine/>
    <w:uiPriority w:val="99"/>
    <w:semiHidden/>
    <w:unhideWhenUsed/>
    <w:rsid w:val="00B200AF"/>
    <w:pPr>
      <w:spacing w:after="0"/>
      <w:ind w:left="1100" w:hanging="220"/>
    </w:pPr>
  </w:style>
  <w:style w:type="paragraph" w:styleId="Index6">
    <w:name w:val="index 6"/>
    <w:basedOn w:val="Normal"/>
    <w:next w:val="Normal"/>
    <w:autoRedefine/>
    <w:uiPriority w:val="99"/>
    <w:semiHidden/>
    <w:unhideWhenUsed/>
    <w:rsid w:val="00B200AF"/>
    <w:pPr>
      <w:spacing w:after="0"/>
      <w:ind w:left="1320" w:hanging="220"/>
    </w:pPr>
  </w:style>
  <w:style w:type="paragraph" w:styleId="Index7">
    <w:name w:val="index 7"/>
    <w:basedOn w:val="Normal"/>
    <w:next w:val="Normal"/>
    <w:autoRedefine/>
    <w:uiPriority w:val="99"/>
    <w:semiHidden/>
    <w:unhideWhenUsed/>
    <w:rsid w:val="00B200AF"/>
    <w:pPr>
      <w:spacing w:after="0"/>
      <w:ind w:left="1540" w:hanging="220"/>
    </w:pPr>
  </w:style>
  <w:style w:type="paragraph" w:styleId="Index8">
    <w:name w:val="index 8"/>
    <w:basedOn w:val="Normal"/>
    <w:next w:val="Normal"/>
    <w:autoRedefine/>
    <w:uiPriority w:val="99"/>
    <w:semiHidden/>
    <w:unhideWhenUsed/>
    <w:rsid w:val="00B200AF"/>
    <w:pPr>
      <w:spacing w:after="0"/>
      <w:ind w:left="1760" w:hanging="220"/>
    </w:pPr>
  </w:style>
  <w:style w:type="paragraph" w:styleId="Index9">
    <w:name w:val="index 9"/>
    <w:basedOn w:val="Normal"/>
    <w:next w:val="Normal"/>
    <w:autoRedefine/>
    <w:uiPriority w:val="99"/>
    <w:semiHidden/>
    <w:unhideWhenUsed/>
    <w:rsid w:val="00B200AF"/>
    <w:pPr>
      <w:spacing w:after="0"/>
      <w:ind w:left="1980" w:hanging="220"/>
    </w:pPr>
  </w:style>
  <w:style w:type="paragraph" w:styleId="IndexHeading">
    <w:name w:val="index heading"/>
    <w:basedOn w:val="Normal"/>
    <w:next w:val="Index1"/>
    <w:uiPriority w:val="99"/>
    <w:semiHidden/>
    <w:unhideWhenUsed/>
    <w:rsid w:val="00B200AF"/>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840060"/>
    <w:rPr>
      <w:b/>
      <w:bCs/>
      <w:i/>
      <w:iCs/>
      <w:color w:val="9B9795" w:themeColor="accent1"/>
    </w:rPr>
  </w:style>
  <w:style w:type="paragraph" w:styleId="IntenseQuote">
    <w:name w:val="Intense Quote"/>
    <w:basedOn w:val="Normal"/>
    <w:next w:val="Normal"/>
    <w:link w:val="IntenseQuoteChar"/>
    <w:uiPriority w:val="30"/>
    <w:semiHidden/>
    <w:qFormat/>
    <w:rsid w:val="00840060"/>
    <w:pPr>
      <w:pBdr>
        <w:bottom w:val="single" w:sz="4" w:space="4" w:color="9B9795" w:themeColor="accent1"/>
      </w:pBdr>
      <w:spacing w:before="200" w:after="280"/>
      <w:ind w:left="936" w:right="936"/>
    </w:pPr>
    <w:rPr>
      <w:b/>
      <w:bCs/>
      <w:i/>
      <w:iCs/>
      <w:color w:val="9B9795" w:themeColor="accent1"/>
      <w:lang w:val="en-AU"/>
    </w:rPr>
  </w:style>
  <w:style w:type="character" w:customStyle="1" w:styleId="IntenseQuoteChar">
    <w:name w:val="Intense Quote Char"/>
    <w:basedOn w:val="DefaultParagraphFont"/>
    <w:link w:val="IntenseQuote"/>
    <w:uiPriority w:val="30"/>
    <w:semiHidden/>
    <w:rsid w:val="00840060"/>
    <w:rPr>
      <w:b/>
      <w:bCs/>
      <w:i/>
      <w:iCs/>
      <w:color w:val="9B9795" w:themeColor="accent1"/>
      <w:lang w:val="en-AU"/>
    </w:rPr>
  </w:style>
  <w:style w:type="character" w:styleId="IntenseReference">
    <w:name w:val="Intense Reference"/>
    <w:basedOn w:val="DefaultParagraphFont"/>
    <w:uiPriority w:val="32"/>
    <w:semiHidden/>
    <w:qFormat/>
    <w:rsid w:val="00840060"/>
    <w:rPr>
      <w:b/>
      <w:bCs/>
      <w:smallCaps/>
      <w:color w:val="CE7628" w:themeColor="accent2"/>
      <w:spacing w:val="5"/>
      <w:u w:val="single"/>
    </w:rPr>
  </w:style>
  <w:style w:type="table" w:styleId="LightGrid">
    <w:name w:val="Light Grid"/>
    <w:basedOn w:val="TableNormal"/>
    <w:uiPriority w:val="62"/>
    <w:rsid w:val="008552F5"/>
    <w:pPr>
      <w:spacing w:after="0" w:line="240" w:lineRule="auto"/>
    </w:pPr>
    <w:tblPr>
      <w:tblStyleRowBandSize w:val="1"/>
      <w:tblStyleColBandSize w:val="1"/>
      <w:tblBorders>
        <w:top w:val="single" w:sz="8" w:space="0" w:color="9B9795" w:themeColor="text1"/>
        <w:left w:val="single" w:sz="8" w:space="0" w:color="9B9795" w:themeColor="text1"/>
        <w:bottom w:val="single" w:sz="8" w:space="0" w:color="9B9795" w:themeColor="text1"/>
        <w:right w:val="single" w:sz="8" w:space="0" w:color="9B9795" w:themeColor="text1"/>
        <w:insideH w:val="single" w:sz="8" w:space="0" w:color="9B9795" w:themeColor="text1"/>
        <w:insideV w:val="single" w:sz="8" w:space="0" w:color="9B9795"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9795" w:themeColor="text1"/>
          <w:left w:val="single" w:sz="8" w:space="0" w:color="9B9795" w:themeColor="text1"/>
          <w:bottom w:val="single" w:sz="18" w:space="0" w:color="9B9795" w:themeColor="text1"/>
          <w:right w:val="single" w:sz="8" w:space="0" w:color="9B9795" w:themeColor="text1"/>
          <w:insideH w:val="nil"/>
          <w:insideV w:val="single" w:sz="8" w:space="0" w:color="9B9795"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9795" w:themeColor="text1"/>
          <w:left w:val="single" w:sz="8" w:space="0" w:color="9B9795" w:themeColor="text1"/>
          <w:bottom w:val="single" w:sz="8" w:space="0" w:color="9B9795" w:themeColor="text1"/>
          <w:right w:val="single" w:sz="8" w:space="0" w:color="9B9795" w:themeColor="text1"/>
          <w:insideH w:val="nil"/>
          <w:insideV w:val="single" w:sz="8" w:space="0" w:color="9B9795"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9795" w:themeColor="text1"/>
          <w:left w:val="single" w:sz="8" w:space="0" w:color="9B9795" w:themeColor="text1"/>
          <w:bottom w:val="single" w:sz="8" w:space="0" w:color="9B9795" w:themeColor="text1"/>
          <w:right w:val="single" w:sz="8" w:space="0" w:color="9B9795" w:themeColor="text1"/>
        </w:tcBorders>
      </w:tcPr>
    </w:tblStylePr>
    <w:tblStylePr w:type="band1Vert">
      <w:tblPr/>
      <w:tcPr>
        <w:tcBorders>
          <w:top w:val="single" w:sz="8" w:space="0" w:color="9B9795" w:themeColor="text1"/>
          <w:left w:val="single" w:sz="8" w:space="0" w:color="9B9795" w:themeColor="text1"/>
          <w:bottom w:val="single" w:sz="8" w:space="0" w:color="9B9795" w:themeColor="text1"/>
          <w:right w:val="single" w:sz="8" w:space="0" w:color="9B9795" w:themeColor="text1"/>
        </w:tcBorders>
        <w:shd w:val="clear" w:color="auto" w:fill="E6E5E4" w:themeFill="text1" w:themeFillTint="3F"/>
      </w:tcPr>
    </w:tblStylePr>
    <w:tblStylePr w:type="band1Horz">
      <w:tblPr/>
      <w:tcPr>
        <w:tcBorders>
          <w:top w:val="single" w:sz="8" w:space="0" w:color="9B9795" w:themeColor="text1"/>
          <w:left w:val="single" w:sz="8" w:space="0" w:color="9B9795" w:themeColor="text1"/>
          <w:bottom w:val="single" w:sz="8" w:space="0" w:color="9B9795" w:themeColor="text1"/>
          <w:right w:val="single" w:sz="8" w:space="0" w:color="9B9795" w:themeColor="text1"/>
          <w:insideV w:val="single" w:sz="8" w:space="0" w:color="9B9795" w:themeColor="text1"/>
        </w:tcBorders>
        <w:shd w:val="clear" w:color="auto" w:fill="E6E5E4" w:themeFill="text1" w:themeFillTint="3F"/>
      </w:tcPr>
    </w:tblStylePr>
    <w:tblStylePr w:type="band2Horz">
      <w:tblPr/>
      <w:tcPr>
        <w:tcBorders>
          <w:top w:val="single" w:sz="8" w:space="0" w:color="9B9795" w:themeColor="text1"/>
          <w:left w:val="single" w:sz="8" w:space="0" w:color="9B9795" w:themeColor="text1"/>
          <w:bottom w:val="single" w:sz="8" w:space="0" w:color="9B9795" w:themeColor="text1"/>
          <w:right w:val="single" w:sz="8" w:space="0" w:color="9B9795" w:themeColor="text1"/>
          <w:insideV w:val="single" w:sz="8" w:space="0" w:color="9B9795" w:themeColor="text1"/>
        </w:tcBorders>
      </w:tcPr>
    </w:tblStylePr>
  </w:style>
  <w:style w:type="table" w:styleId="LightGrid-Accent1">
    <w:name w:val="Light Grid Accent 1"/>
    <w:basedOn w:val="TableNormal"/>
    <w:uiPriority w:val="62"/>
    <w:rsid w:val="008552F5"/>
    <w:pPr>
      <w:spacing w:after="0" w:line="240" w:lineRule="auto"/>
    </w:pPr>
    <w:tblPr>
      <w:tblStyleRowBandSize w:val="1"/>
      <w:tblStyleColBandSize w:val="1"/>
      <w:tblBorders>
        <w:top w:val="single" w:sz="8" w:space="0" w:color="9B9795" w:themeColor="accent1"/>
        <w:left w:val="single" w:sz="8" w:space="0" w:color="9B9795" w:themeColor="accent1"/>
        <w:bottom w:val="single" w:sz="8" w:space="0" w:color="9B9795" w:themeColor="accent1"/>
        <w:right w:val="single" w:sz="8" w:space="0" w:color="9B9795" w:themeColor="accent1"/>
        <w:insideH w:val="single" w:sz="8" w:space="0" w:color="9B9795" w:themeColor="accent1"/>
        <w:insideV w:val="single" w:sz="8" w:space="0" w:color="9B979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9795" w:themeColor="accent1"/>
          <w:left w:val="single" w:sz="8" w:space="0" w:color="9B9795" w:themeColor="accent1"/>
          <w:bottom w:val="single" w:sz="18" w:space="0" w:color="9B9795" w:themeColor="accent1"/>
          <w:right w:val="single" w:sz="8" w:space="0" w:color="9B9795" w:themeColor="accent1"/>
          <w:insideH w:val="nil"/>
          <w:insideV w:val="single" w:sz="8" w:space="0" w:color="9B979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9795" w:themeColor="accent1"/>
          <w:left w:val="single" w:sz="8" w:space="0" w:color="9B9795" w:themeColor="accent1"/>
          <w:bottom w:val="single" w:sz="8" w:space="0" w:color="9B9795" w:themeColor="accent1"/>
          <w:right w:val="single" w:sz="8" w:space="0" w:color="9B9795" w:themeColor="accent1"/>
          <w:insideH w:val="nil"/>
          <w:insideV w:val="single" w:sz="8" w:space="0" w:color="9B979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9795" w:themeColor="accent1"/>
          <w:left w:val="single" w:sz="8" w:space="0" w:color="9B9795" w:themeColor="accent1"/>
          <w:bottom w:val="single" w:sz="8" w:space="0" w:color="9B9795" w:themeColor="accent1"/>
          <w:right w:val="single" w:sz="8" w:space="0" w:color="9B9795" w:themeColor="accent1"/>
        </w:tcBorders>
      </w:tcPr>
    </w:tblStylePr>
    <w:tblStylePr w:type="band1Vert">
      <w:tblPr/>
      <w:tcPr>
        <w:tcBorders>
          <w:top w:val="single" w:sz="8" w:space="0" w:color="9B9795" w:themeColor="accent1"/>
          <w:left w:val="single" w:sz="8" w:space="0" w:color="9B9795" w:themeColor="accent1"/>
          <w:bottom w:val="single" w:sz="8" w:space="0" w:color="9B9795" w:themeColor="accent1"/>
          <w:right w:val="single" w:sz="8" w:space="0" w:color="9B9795" w:themeColor="accent1"/>
        </w:tcBorders>
        <w:shd w:val="clear" w:color="auto" w:fill="E6E5E4" w:themeFill="accent1" w:themeFillTint="3F"/>
      </w:tcPr>
    </w:tblStylePr>
    <w:tblStylePr w:type="band1Horz">
      <w:tblPr/>
      <w:tcPr>
        <w:tcBorders>
          <w:top w:val="single" w:sz="8" w:space="0" w:color="9B9795" w:themeColor="accent1"/>
          <w:left w:val="single" w:sz="8" w:space="0" w:color="9B9795" w:themeColor="accent1"/>
          <w:bottom w:val="single" w:sz="8" w:space="0" w:color="9B9795" w:themeColor="accent1"/>
          <w:right w:val="single" w:sz="8" w:space="0" w:color="9B9795" w:themeColor="accent1"/>
          <w:insideV w:val="single" w:sz="8" w:space="0" w:color="9B9795" w:themeColor="accent1"/>
        </w:tcBorders>
        <w:shd w:val="clear" w:color="auto" w:fill="E6E5E4" w:themeFill="accent1" w:themeFillTint="3F"/>
      </w:tcPr>
    </w:tblStylePr>
    <w:tblStylePr w:type="band2Horz">
      <w:tblPr/>
      <w:tcPr>
        <w:tcBorders>
          <w:top w:val="single" w:sz="8" w:space="0" w:color="9B9795" w:themeColor="accent1"/>
          <w:left w:val="single" w:sz="8" w:space="0" w:color="9B9795" w:themeColor="accent1"/>
          <w:bottom w:val="single" w:sz="8" w:space="0" w:color="9B9795" w:themeColor="accent1"/>
          <w:right w:val="single" w:sz="8" w:space="0" w:color="9B9795" w:themeColor="accent1"/>
          <w:insideV w:val="single" w:sz="8" w:space="0" w:color="9B9795" w:themeColor="accent1"/>
        </w:tcBorders>
      </w:tcPr>
    </w:tblStylePr>
  </w:style>
  <w:style w:type="table" w:styleId="LightGrid-Accent2">
    <w:name w:val="Light Grid Accent 2"/>
    <w:basedOn w:val="TableNormal"/>
    <w:uiPriority w:val="62"/>
    <w:rsid w:val="008552F5"/>
    <w:pPr>
      <w:spacing w:after="0" w:line="240" w:lineRule="auto"/>
    </w:pPr>
    <w:tblPr>
      <w:tblStyleRowBandSize w:val="1"/>
      <w:tblStyleColBandSize w:val="1"/>
      <w:tblBorders>
        <w:top w:val="single" w:sz="8" w:space="0" w:color="CE7628" w:themeColor="accent2"/>
        <w:left w:val="single" w:sz="8" w:space="0" w:color="CE7628" w:themeColor="accent2"/>
        <w:bottom w:val="single" w:sz="8" w:space="0" w:color="CE7628" w:themeColor="accent2"/>
        <w:right w:val="single" w:sz="8" w:space="0" w:color="CE7628" w:themeColor="accent2"/>
        <w:insideH w:val="single" w:sz="8" w:space="0" w:color="CE7628" w:themeColor="accent2"/>
        <w:insideV w:val="single" w:sz="8" w:space="0" w:color="CE762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7628" w:themeColor="accent2"/>
          <w:left w:val="single" w:sz="8" w:space="0" w:color="CE7628" w:themeColor="accent2"/>
          <w:bottom w:val="single" w:sz="18" w:space="0" w:color="CE7628" w:themeColor="accent2"/>
          <w:right w:val="single" w:sz="8" w:space="0" w:color="CE7628" w:themeColor="accent2"/>
          <w:insideH w:val="nil"/>
          <w:insideV w:val="single" w:sz="8" w:space="0" w:color="CE762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7628" w:themeColor="accent2"/>
          <w:left w:val="single" w:sz="8" w:space="0" w:color="CE7628" w:themeColor="accent2"/>
          <w:bottom w:val="single" w:sz="8" w:space="0" w:color="CE7628" w:themeColor="accent2"/>
          <w:right w:val="single" w:sz="8" w:space="0" w:color="CE7628" w:themeColor="accent2"/>
          <w:insideH w:val="nil"/>
          <w:insideV w:val="single" w:sz="8" w:space="0" w:color="CE762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7628" w:themeColor="accent2"/>
          <w:left w:val="single" w:sz="8" w:space="0" w:color="CE7628" w:themeColor="accent2"/>
          <w:bottom w:val="single" w:sz="8" w:space="0" w:color="CE7628" w:themeColor="accent2"/>
          <w:right w:val="single" w:sz="8" w:space="0" w:color="CE7628" w:themeColor="accent2"/>
        </w:tcBorders>
      </w:tcPr>
    </w:tblStylePr>
    <w:tblStylePr w:type="band1Vert">
      <w:tblPr/>
      <w:tcPr>
        <w:tcBorders>
          <w:top w:val="single" w:sz="8" w:space="0" w:color="CE7628" w:themeColor="accent2"/>
          <w:left w:val="single" w:sz="8" w:space="0" w:color="CE7628" w:themeColor="accent2"/>
          <w:bottom w:val="single" w:sz="8" w:space="0" w:color="CE7628" w:themeColor="accent2"/>
          <w:right w:val="single" w:sz="8" w:space="0" w:color="CE7628" w:themeColor="accent2"/>
        </w:tcBorders>
        <w:shd w:val="clear" w:color="auto" w:fill="F4DCC8" w:themeFill="accent2" w:themeFillTint="3F"/>
      </w:tcPr>
    </w:tblStylePr>
    <w:tblStylePr w:type="band1Horz">
      <w:tblPr/>
      <w:tcPr>
        <w:tcBorders>
          <w:top w:val="single" w:sz="8" w:space="0" w:color="CE7628" w:themeColor="accent2"/>
          <w:left w:val="single" w:sz="8" w:space="0" w:color="CE7628" w:themeColor="accent2"/>
          <w:bottom w:val="single" w:sz="8" w:space="0" w:color="CE7628" w:themeColor="accent2"/>
          <w:right w:val="single" w:sz="8" w:space="0" w:color="CE7628" w:themeColor="accent2"/>
          <w:insideV w:val="single" w:sz="8" w:space="0" w:color="CE7628" w:themeColor="accent2"/>
        </w:tcBorders>
        <w:shd w:val="clear" w:color="auto" w:fill="F4DCC8" w:themeFill="accent2" w:themeFillTint="3F"/>
      </w:tcPr>
    </w:tblStylePr>
    <w:tblStylePr w:type="band2Horz">
      <w:tblPr/>
      <w:tcPr>
        <w:tcBorders>
          <w:top w:val="single" w:sz="8" w:space="0" w:color="CE7628" w:themeColor="accent2"/>
          <w:left w:val="single" w:sz="8" w:space="0" w:color="CE7628" w:themeColor="accent2"/>
          <w:bottom w:val="single" w:sz="8" w:space="0" w:color="CE7628" w:themeColor="accent2"/>
          <w:right w:val="single" w:sz="8" w:space="0" w:color="CE7628" w:themeColor="accent2"/>
          <w:insideV w:val="single" w:sz="8" w:space="0" w:color="CE7628" w:themeColor="accent2"/>
        </w:tcBorders>
      </w:tcPr>
    </w:tblStylePr>
  </w:style>
  <w:style w:type="table" w:styleId="LightGrid-Accent3">
    <w:name w:val="Light Grid Accent 3"/>
    <w:basedOn w:val="TableNormal"/>
    <w:uiPriority w:val="62"/>
    <w:rsid w:val="008552F5"/>
    <w:pPr>
      <w:spacing w:after="0" w:line="240" w:lineRule="auto"/>
    </w:pPr>
    <w:tblPr>
      <w:tblStyleRowBandSize w:val="1"/>
      <w:tblStyleColBandSize w:val="1"/>
      <w:tblBorders>
        <w:top w:val="single" w:sz="8" w:space="0" w:color="497537" w:themeColor="accent3"/>
        <w:left w:val="single" w:sz="8" w:space="0" w:color="497537" w:themeColor="accent3"/>
        <w:bottom w:val="single" w:sz="8" w:space="0" w:color="497537" w:themeColor="accent3"/>
        <w:right w:val="single" w:sz="8" w:space="0" w:color="497537" w:themeColor="accent3"/>
        <w:insideH w:val="single" w:sz="8" w:space="0" w:color="497537" w:themeColor="accent3"/>
        <w:insideV w:val="single" w:sz="8" w:space="0" w:color="49753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7537" w:themeColor="accent3"/>
          <w:left w:val="single" w:sz="8" w:space="0" w:color="497537" w:themeColor="accent3"/>
          <w:bottom w:val="single" w:sz="18" w:space="0" w:color="497537" w:themeColor="accent3"/>
          <w:right w:val="single" w:sz="8" w:space="0" w:color="497537" w:themeColor="accent3"/>
          <w:insideH w:val="nil"/>
          <w:insideV w:val="single" w:sz="8" w:space="0" w:color="49753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7537" w:themeColor="accent3"/>
          <w:left w:val="single" w:sz="8" w:space="0" w:color="497537" w:themeColor="accent3"/>
          <w:bottom w:val="single" w:sz="8" w:space="0" w:color="497537" w:themeColor="accent3"/>
          <w:right w:val="single" w:sz="8" w:space="0" w:color="497537" w:themeColor="accent3"/>
          <w:insideH w:val="nil"/>
          <w:insideV w:val="single" w:sz="8" w:space="0" w:color="49753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7537" w:themeColor="accent3"/>
          <w:left w:val="single" w:sz="8" w:space="0" w:color="497537" w:themeColor="accent3"/>
          <w:bottom w:val="single" w:sz="8" w:space="0" w:color="497537" w:themeColor="accent3"/>
          <w:right w:val="single" w:sz="8" w:space="0" w:color="497537" w:themeColor="accent3"/>
        </w:tcBorders>
      </w:tcPr>
    </w:tblStylePr>
    <w:tblStylePr w:type="band1Vert">
      <w:tblPr/>
      <w:tcPr>
        <w:tcBorders>
          <w:top w:val="single" w:sz="8" w:space="0" w:color="497537" w:themeColor="accent3"/>
          <w:left w:val="single" w:sz="8" w:space="0" w:color="497537" w:themeColor="accent3"/>
          <w:bottom w:val="single" w:sz="8" w:space="0" w:color="497537" w:themeColor="accent3"/>
          <w:right w:val="single" w:sz="8" w:space="0" w:color="497537" w:themeColor="accent3"/>
        </w:tcBorders>
        <w:shd w:val="clear" w:color="auto" w:fill="CEE4C6" w:themeFill="accent3" w:themeFillTint="3F"/>
      </w:tcPr>
    </w:tblStylePr>
    <w:tblStylePr w:type="band1Horz">
      <w:tblPr/>
      <w:tcPr>
        <w:tcBorders>
          <w:top w:val="single" w:sz="8" w:space="0" w:color="497537" w:themeColor="accent3"/>
          <w:left w:val="single" w:sz="8" w:space="0" w:color="497537" w:themeColor="accent3"/>
          <w:bottom w:val="single" w:sz="8" w:space="0" w:color="497537" w:themeColor="accent3"/>
          <w:right w:val="single" w:sz="8" w:space="0" w:color="497537" w:themeColor="accent3"/>
          <w:insideV w:val="single" w:sz="8" w:space="0" w:color="497537" w:themeColor="accent3"/>
        </w:tcBorders>
        <w:shd w:val="clear" w:color="auto" w:fill="CEE4C6" w:themeFill="accent3" w:themeFillTint="3F"/>
      </w:tcPr>
    </w:tblStylePr>
    <w:tblStylePr w:type="band2Horz">
      <w:tblPr/>
      <w:tcPr>
        <w:tcBorders>
          <w:top w:val="single" w:sz="8" w:space="0" w:color="497537" w:themeColor="accent3"/>
          <w:left w:val="single" w:sz="8" w:space="0" w:color="497537" w:themeColor="accent3"/>
          <w:bottom w:val="single" w:sz="8" w:space="0" w:color="497537" w:themeColor="accent3"/>
          <w:right w:val="single" w:sz="8" w:space="0" w:color="497537" w:themeColor="accent3"/>
          <w:insideV w:val="single" w:sz="8" w:space="0" w:color="497537" w:themeColor="accent3"/>
        </w:tcBorders>
      </w:tcPr>
    </w:tblStylePr>
  </w:style>
  <w:style w:type="table" w:styleId="LightGrid-Accent4">
    <w:name w:val="Light Grid Accent 4"/>
    <w:basedOn w:val="TableNormal"/>
    <w:uiPriority w:val="62"/>
    <w:rsid w:val="008552F5"/>
    <w:pPr>
      <w:spacing w:after="0" w:line="240" w:lineRule="auto"/>
    </w:pPr>
    <w:tblPr>
      <w:tblStyleRowBandSize w:val="1"/>
      <w:tblStyleColBandSize w:val="1"/>
      <w:tblBorders>
        <w:top w:val="single" w:sz="8" w:space="0" w:color="A19836" w:themeColor="accent4"/>
        <w:left w:val="single" w:sz="8" w:space="0" w:color="A19836" w:themeColor="accent4"/>
        <w:bottom w:val="single" w:sz="8" w:space="0" w:color="A19836" w:themeColor="accent4"/>
        <w:right w:val="single" w:sz="8" w:space="0" w:color="A19836" w:themeColor="accent4"/>
        <w:insideH w:val="single" w:sz="8" w:space="0" w:color="A19836" w:themeColor="accent4"/>
        <w:insideV w:val="single" w:sz="8" w:space="0" w:color="A1983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9836" w:themeColor="accent4"/>
          <w:left w:val="single" w:sz="8" w:space="0" w:color="A19836" w:themeColor="accent4"/>
          <w:bottom w:val="single" w:sz="18" w:space="0" w:color="A19836" w:themeColor="accent4"/>
          <w:right w:val="single" w:sz="8" w:space="0" w:color="A19836" w:themeColor="accent4"/>
          <w:insideH w:val="nil"/>
          <w:insideV w:val="single" w:sz="8" w:space="0" w:color="A1983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9836" w:themeColor="accent4"/>
          <w:left w:val="single" w:sz="8" w:space="0" w:color="A19836" w:themeColor="accent4"/>
          <w:bottom w:val="single" w:sz="8" w:space="0" w:color="A19836" w:themeColor="accent4"/>
          <w:right w:val="single" w:sz="8" w:space="0" w:color="A19836" w:themeColor="accent4"/>
          <w:insideH w:val="nil"/>
          <w:insideV w:val="single" w:sz="8" w:space="0" w:color="A1983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9836" w:themeColor="accent4"/>
          <w:left w:val="single" w:sz="8" w:space="0" w:color="A19836" w:themeColor="accent4"/>
          <w:bottom w:val="single" w:sz="8" w:space="0" w:color="A19836" w:themeColor="accent4"/>
          <w:right w:val="single" w:sz="8" w:space="0" w:color="A19836" w:themeColor="accent4"/>
        </w:tcBorders>
      </w:tcPr>
    </w:tblStylePr>
    <w:tblStylePr w:type="band1Vert">
      <w:tblPr/>
      <w:tcPr>
        <w:tcBorders>
          <w:top w:val="single" w:sz="8" w:space="0" w:color="A19836" w:themeColor="accent4"/>
          <w:left w:val="single" w:sz="8" w:space="0" w:color="A19836" w:themeColor="accent4"/>
          <w:bottom w:val="single" w:sz="8" w:space="0" w:color="A19836" w:themeColor="accent4"/>
          <w:right w:val="single" w:sz="8" w:space="0" w:color="A19836" w:themeColor="accent4"/>
        </w:tcBorders>
        <w:shd w:val="clear" w:color="auto" w:fill="ECE9C8" w:themeFill="accent4" w:themeFillTint="3F"/>
      </w:tcPr>
    </w:tblStylePr>
    <w:tblStylePr w:type="band1Horz">
      <w:tblPr/>
      <w:tcPr>
        <w:tcBorders>
          <w:top w:val="single" w:sz="8" w:space="0" w:color="A19836" w:themeColor="accent4"/>
          <w:left w:val="single" w:sz="8" w:space="0" w:color="A19836" w:themeColor="accent4"/>
          <w:bottom w:val="single" w:sz="8" w:space="0" w:color="A19836" w:themeColor="accent4"/>
          <w:right w:val="single" w:sz="8" w:space="0" w:color="A19836" w:themeColor="accent4"/>
          <w:insideV w:val="single" w:sz="8" w:space="0" w:color="A19836" w:themeColor="accent4"/>
        </w:tcBorders>
        <w:shd w:val="clear" w:color="auto" w:fill="ECE9C8" w:themeFill="accent4" w:themeFillTint="3F"/>
      </w:tcPr>
    </w:tblStylePr>
    <w:tblStylePr w:type="band2Horz">
      <w:tblPr/>
      <w:tcPr>
        <w:tcBorders>
          <w:top w:val="single" w:sz="8" w:space="0" w:color="A19836" w:themeColor="accent4"/>
          <w:left w:val="single" w:sz="8" w:space="0" w:color="A19836" w:themeColor="accent4"/>
          <w:bottom w:val="single" w:sz="8" w:space="0" w:color="A19836" w:themeColor="accent4"/>
          <w:right w:val="single" w:sz="8" w:space="0" w:color="A19836" w:themeColor="accent4"/>
          <w:insideV w:val="single" w:sz="8" w:space="0" w:color="A19836" w:themeColor="accent4"/>
        </w:tcBorders>
      </w:tcPr>
    </w:tblStylePr>
  </w:style>
  <w:style w:type="table" w:styleId="LightGrid-Accent5">
    <w:name w:val="Light Grid Accent 5"/>
    <w:basedOn w:val="TableNormal"/>
    <w:uiPriority w:val="62"/>
    <w:rsid w:val="008552F5"/>
    <w:pPr>
      <w:spacing w:after="0" w:line="240" w:lineRule="auto"/>
    </w:pPr>
    <w:tblPr>
      <w:tblStyleRowBandSize w:val="1"/>
      <w:tblStyleColBandSize w:val="1"/>
      <w:tblBorders>
        <w:top w:val="single" w:sz="8" w:space="0" w:color="753749" w:themeColor="accent5"/>
        <w:left w:val="single" w:sz="8" w:space="0" w:color="753749" w:themeColor="accent5"/>
        <w:bottom w:val="single" w:sz="8" w:space="0" w:color="753749" w:themeColor="accent5"/>
        <w:right w:val="single" w:sz="8" w:space="0" w:color="753749" w:themeColor="accent5"/>
        <w:insideH w:val="single" w:sz="8" w:space="0" w:color="753749" w:themeColor="accent5"/>
        <w:insideV w:val="single" w:sz="8" w:space="0" w:color="75374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3749" w:themeColor="accent5"/>
          <w:left w:val="single" w:sz="8" w:space="0" w:color="753749" w:themeColor="accent5"/>
          <w:bottom w:val="single" w:sz="18" w:space="0" w:color="753749" w:themeColor="accent5"/>
          <w:right w:val="single" w:sz="8" w:space="0" w:color="753749" w:themeColor="accent5"/>
          <w:insideH w:val="nil"/>
          <w:insideV w:val="single" w:sz="8" w:space="0" w:color="75374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3749" w:themeColor="accent5"/>
          <w:left w:val="single" w:sz="8" w:space="0" w:color="753749" w:themeColor="accent5"/>
          <w:bottom w:val="single" w:sz="8" w:space="0" w:color="753749" w:themeColor="accent5"/>
          <w:right w:val="single" w:sz="8" w:space="0" w:color="753749" w:themeColor="accent5"/>
          <w:insideH w:val="nil"/>
          <w:insideV w:val="single" w:sz="8" w:space="0" w:color="75374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3749" w:themeColor="accent5"/>
          <w:left w:val="single" w:sz="8" w:space="0" w:color="753749" w:themeColor="accent5"/>
          <w:bottom w:val="single" w:sz="8" w:space="0" w:color="753749" w:themeColor="accent5"/>
          <w:right w:val="single" w:sz="8" w:space="0" w:color="753749" w:themeColor="accent5"/>
        </w:tcBorders>
      </w:tcPr>
    </w:tblStylePr>
    <w:tblStylePr w:type="band1Vert">
      <w:tblPr/>
      <w:tcPr>
        <w:tcBorders>
          <w:top w:val="single" w:sz="8" w:space="0" w:color="753749" w:themeColor="accent5"/>
          <w:left w:val="single" w:sz="8" w:space="0" w:color="753749" w:themeColor="accent5"/>
          <w:bottom w:val="single" w:sz="8" w:space="0" w:color="753749" w:themeColor="accent5"/>
          <w:right w:val="single" w:sz="8" w:space="0" w:color="753749" w:themeColor="accent5"/>
        </w:tcBorders>
        <w:shd w:val="clear" w:color="auto" w:fill="E4C6CE" w:themeFill="accent5" w:themeFillTint="3F"/>
      </w:tcPr>
    </w:tblStylePr>
    <w:tblStylePr w:type="band1Horz">
      <w:tblPr/>
      <w:tcPr>
        <w:tcBorders>
          <w:top w:val="single" w:sz="8" w:space="0" w:color="753749" w:themeColor="accent5"/>
          <w:left w:val="single" w:sz="8" w:space="0" w:color="753749" w:themeColor="accent5"/>
          <w:bottom w:val="single" w:sz="8" w:space="0" w:color="753749" w:themeColor="accent5"/>
          <w:right w:val="single" w:sz="8" w:space="0" w:color="753749" w:themeColor="accent5"/>
          <w:insideV w:val="single" w:sz="8" w:space="0" w:color="753749" w:themeColor="accent5"/>
        </w:tcBorders>
        <w:shd w:val="clear" w:color="auto" w:fill="E4C6CE" w:themeFill="accent5" w:themeFillTint="3F"/>
      </w:tcPr>
    </w:tblStylePr>
    <w:tblStylePr w:type="band2Horz">
      <w:tblPr/>
      <w:tcPr>
        <w:tcBorders>
          <w:top w:val="single" w:sz="8" w:space="0" w:color="753749" w:themeColor="accent5"/>
          <w:left w:val="single" w:sz="8" w:space="0" w:color="753749" w:themeColor="accent5"/>
          <w:bottom w:val="single" w:sz="8" w:space="0" w:color="753749" w:themeColor="accent5"/>
          <w:right w:val="single" w:sz="8" w:space="0" w:color="753749" w:themeColor="accent5"/>
          <w:insideV w:val="single" w:sz="8" w:space="0" w:color="753749" w:themeColor="accent5"/>
        </w:tcBorders>
      </w:tcPr>
    </w:tblStylePr>
  </w:style>
  <w:style w:type="table" w:styleId="LightGrid-Accent6">
    <w:name w:val="Light Grid Accent 6"/>
    <w:basedOn w:val="TableNormal"/>
    <w:uiPriority w:val="62"/>
    <w:rsid w:val="008552F5"/>
    <w:pPr>
      <w:spacing w:after="0" w:line="240" w:lineRule="auto"/>
    </w:pPr>
    <w:tblPr>
      <w:tblStyleRowBandSize w:val="1"/>
      <w:tblStyleColBandSize w:val="1"/>
      <w:tblBorders>
        <w:top w:val="single" w:sz="8" w:space="0" w:color="F1AF1A" w:themeColor="accent6"/>
        <w:left w:val="single" w:sz="8" w:space="0" w:color="F1AF1A" w:themeColor="accent6"/>
        <w:bottom w:val="single" w:sz="8" w:space="0" w:color="F1AF1A" w:themeColor="accent6"/>
        <w:right w:val="single" w:sz="8" w:space="0" w:color="F1AF1A" w:themeColor="accent6"/>
        <w:insideH w:val="single" w:sz="8" w:space="0" w:color="F1AF1A" w:themeColor="accent6"/>
        <w:insideV w:val="single" w:sz="8" w:space="0" w:color="F1AF1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AF1A" w:themeColor="accent6"/>
          <w:left w:val="single" w:sz="8" w:space="0" w:color="F1AF1A" w:themeColor="accent6"/>
          <w:bottom w:val="single" w:sz="18" w:space="0" w:color="F1AF1A" w:themeColor="accent6"/>
          <w:right w:val="single" w:sz="8" w:space="0" w:color="F1AF1A" w:themeColor="accent6"/>
          <w:insideH w:val="nil"/>
          <w:insideV w:val="single" w:sz="8" w:space="0" w:color="F1AF1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AF1A" w:themeColor="accent6"/>
          <w:left w:val="single" w:sz="8" w:space="0" w:color="F1AF1A" w:themeColor="accent6"/>
          <w:bottom w:val="single" w:sz="8" w:space="0" w:color="F1AF1A" w:themeColor="accent6"/>
          <w:right w:val="single" w:sz="8" w:space="0" w:color="F1AF1A" w:themeColor="accent6"/>
          <w:insideH w:val="nil"/>
          <w:insideV w:val="single" w:sz="8" w:space="0" w:color="F1AF1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AF1A" w:themeColor="accent6"/>
          <w:left w:val="single" w:sz="8" w:space="0" w:color="F1AF1A" w:themeColor="accent6"/>
          <w:bottom w:val="single" w:sz="8" w:space="0" w:color="F1AF1A" w:themeColor="accent6"/>
          <w:right w:val="single" w:sz="8" w:space="0" w:color="F1AF1A" w:themeColor="accent6"/>
        </w:tcBorders>
      </w:tcPr>
    </w:tblStylePr>
    <w:tblStylePr w:type="band1Vert">
      <w:tblPr/>
      <w:tcPr>
        <w:tcBorders>
          <w:top w:val="single" w:sz="8" w:space="0" w:color="F1AF1A" w:themeColor="accent6"/>
          <w:left w:val="single" w:sz="8" w:space="0" w:color="F1AF1A" w:themeColor="accent6"/>
          <w:bottom w:val="single" w:sz="8" w:space="0" w:color="F1AF1A" w:themeColor="accent6"/>
          <w:right w:val="single" w:sz="8" w:space="0" w:color="F1AF1A" w:themeColor="accent6"/>
        </w:tcBorders>
        <w:shd w:val="clear" w:color="auto" w:fill="FBEBC6" w:themeFill="accent6" w:themeFillTint="3F"/>
      </w:tcPr>
    </w:tblStylePr>
    <w:tblStylePr w:type="band1Horz">
      <w:tblPr/>
      <w:tcPr>
        <w:tcBorders>
          <w:top w:val="single" w:sz="8" w:space="0" w:color="F1AF1A" w:themeColor="accent6"/>
          <w:left w:val="single" w:sz="8" w:space="0" w:color="F1AF1A" w:themeColor="accent6"/>
          <w:bottom w:val="single" w:sz="8" w:space="0" w:color="F1AF1A" w:themeColor="accent6"/>
          <w:right w:val="single" w:sz="8" w:space="0" w:color="F1AF1A" w:themeColor="accent6"/>
          <w:insideV w:val="single" w:sz="8" w:space="0" w:color="F1AF1A" w:themeColor="accent6"/>
        </w:tcBorders>
        <w:shd w:val="clear" w:color="auto" w:fill="FBEBC6" w:themeFill="accent6" w:themeFillTint="3F"/>
      </w:tcPr>
    </w:tblStylePr>
    <w:tblStylePr w:type="band2Horz">
      <w:tblPr/>
      <w:tcPr>
        <w:tcBorders>
          <w:top w:val="single" w:sz="8" w:space="0" w:color="F1AF1A" w:themeColor="accent6"/>
          <w:left w:val="single" w:sz="8" w:space="0" w:color="F1AF1A" w:themeColor="accent6"/>
          <w:bottom w:val="single" w:sz="8" w:space="0" w:color="F1AF1A" w:themeColor="accent6"/>
          <w:right w:val="single" w:sz="8" w:space="0" w:color="F1AF1A" w:themeColor="accent6"/>
          <w:insideV w:val="single" w:sz="8" w:space="0" w:color="F1AF1A" w:themeColor="accent6"/>
        </w:tcBorders>
      </w:tcPr>
    </w:tblStylePr>
  </w:style>
  <w:style w:type="table" w:styleId="LightList">
    <w:name w:val="Light List"/>
    <w:basedOn w:val="TableNormal"/>
    <w:uiPriority w:val="61"/>
    <w:rsid w:val="00AF2717"/>
    <w:pPr>
      <w:spacing w:after="0" w:line="240" w:lineRule="auto"/>
    </w:pPr>
    <w:rPr>
      <w:rFonts w:ascii="Times New Roman" w:eastAsia="Times New Roman" w:hAnsi="Times New Roman" w:cs="Times New Roman"/>
      <w:lang w:eastAsia="en-GB"/>
    </w:rPr>
    <w:tblPr>
      <w:tblStyleRowBandSize w:val="1"/>
      <w:tblStyleColBandSize w:val="1"/>
      <w:tblBorders>
        <w:top w:val="single" w:sz="8" w:space="0" w:color="9B9795" w:themeColor="text1"/>
        <w:left w:val="single" w:sz="8" w:space="0" w:color="9B9795" w:themeColor="text1"/>
        <w:bottom w:val="single" w:sz="8" w:space="0" w:color="9B9795" w:themeColor="text1"/>
        <w:right w:val="single" w:sz="8" w:space="0" w:color="9B9795" w:themeColor="text1"/>
      </w:tblBorders>
    </w:tblPr>
    <w:tblStylePr w:type="firstRow">
      <w:pPr>
        <w:spacing w:before="0" w:after="0" w:line="240" w:lineRule="auto"/>
      </w:pPr>
      <w:rPr>
        <w:b/>
        <w:bCs/>
        <w:color w:val="FFFFFF" w:themeColor="background1"/>
      </w:rPr>
      <w:tblPr/>
      <w:tcPr>
        <w:shd w:val="clear" w:color="auto" w:fill="9B9795" w:themeFill="text1"/>
      </w:tcPr>
    </w:tblStylePr>
    <w:tblStylePr w:type="lastRow">
      <w:pPr>
        <w:spacing w:before="0" w:after="0" w:line="240" w:lineRule="auto"/>
      </w:pPr>
      <w:rPr>
        <w:b/>
        <w:bCs/>
      </w:rPr>
      <w:tblPr/>
      <w:tcPr>
        <w:tcBorders>
          <w:top w:val="double" w:sz="6" w:space="0" w:color="9B9795" w:themeColor="text1"/>
          <w:left w:val="single" w:sz="8" w:space="0" w:color="9B9795" w:themeColor="text1"/>
          <w:bottom w:val="single" w:sz="8" w:space="0" w:color="9B9795" w:themeColor="text1"/>
          <w:right w:val="single" w:sz="8" w:space="0" w:color="9B9795" w:themeColor="text1"/>
        </w:tcBorders>
      </w:tcPr>
    </w:tblStylePr>
    <w:tblStylePr w:type="firstCol">
      <w:rPr>
        <w:b/>
        <w:bCs/>
      </w:rPr>
    </w:tblStylePr>
    <w:tblStylePr w:type="lastCol">
      <w:rPr>
        <w:b/>
        <w:bCs/>
      </w:rPr>
    </w:tblStylePr>
    <w:tblStylePr w:type="band1Vert">
      <w:tblPr/>
      <w:tcPr>
        <w:tcBorders>
          <w:top w:val="single" w:sz="8" w:space="0" w:color="9B9795" w:themeColor="text1"/>
          <w:left w:val="single" w:sz="8" w:space="0" w:color="9B9795" w:themeColor="text1"/>
          <w:bottom w:val="single" w:sz="8" w:space="0" w:color="9B9795" w:themeColor="text1"/>
          <w:right w:val="single" w:sz="8" w:space="0" w:color="9B9795" w:themeColor="text1"/>
        </w:tcBorders>
      </w:tcPr>
    </w:tblStylePr>
    <w:tblStylePr w:type="band1Horz">
      <w:tblPr/>
      <w:tcPr>
        <w:tcBorders>
          <w:top w:val="single" w:sz="8" w:space="0" w:color="9B9795" w:themeColor="text1"/>
          <w:left w:val="single" w:sz="8" w:space="0" w:color="9B9795" w:themeColor="text1"/>
          <w:bottom w:val="single" w:sz="8" w:space="0" w:color="9B9795" w:themeColor="text1"/>
          <w:right w:val="single" w:sz="8" w:space="0" w:color="9B9795" w:themeColor="text1"/>
        </w:tcBorders>
      </w:tcPr>
    </w:tblStylePr>
  </w:style>
  <w:style w:type="table" w:styleId="LightList-Accent1">
    <w:name w:val="Light List Accent 1"/>
    <w:basedOn w:val="TableNormal"/>
    <w:uiPriority w:val="61"/>
    <w:rsid w:val="008552F5"/>
    <w:pPr>
      <w:spacing w:after="0" w:line="240" w:lineRule="auto"/>
    </w:pPr>
    <w:tblPr>
      <w:tblStyleRowBandSize w:val="1"/>
      <w:tblStyleColBandSize w:val="1"/>
      <w:tblBorders>
        <w:top w:val="single" w:sz="8" w:space="0" w:color="9B9795" w:themeColor="accent1"/>
        <w:left w:val="single" w:sz="8" w:space="0" w:color="9B9795" w:themeColor="accent1"/>
        <w:bottom w:val="single" w:sz="8" w:space="0" w:color="9B9795" w:themeColor="accent1"/>
        <w:right w:val="single" w:sz="8" w:space="0" w:color="9B9795" w:themeColor="accent1"/>
      </w:tblBorders>
    </w:tblPr>
    <w:tblStylePr w:type="firstRow">
      <w:pPr>
        <w:spacing w:before="0" w:after="0" w:line="240" w:lineRule="auto"/>
      </w:pPr>
      <w:rPr>
        <w:b/>
        <w:bCs/>
        <w:color w:val="FFFFFF" w:themeColor="background1"/>
      </w:rPr>
      <w:tblPr/>
      <w:tcPr>
        <w:shd w:val="clear" w:color="auto" w:fill="9B9795" w:themeFill="accent1"/>
      </w:tcPr>
    </w:tblStylePr>
    <w:tblStylePr w:type="lastRow">
      <w:pPr>
        <w:spacing w:before="0" w:after="0" w:line="240" w:lineRule="auto"/>
      </w:pPr>
      <w:rPr>
        <w:b/>
        <w:bCs/>
      </w:rPr>
      <w:tblPr/>
      <w:tcPr>
        <w:tcBorders>
          <w:top w:val="double" w:sz="6" w:space="0" w:color="9B9795" w:themeColor="accent1"/>
          <w:left w:val="single" w:sz="8" w:space="0" w:color="9B9795" w:themeColor="accent1"/>
          <w:bottom w:val="single" w:sz="8" w:space="0" w:color="9B9795" w:themeColor="accent1"/>
          <w:right w:val="single" w:sz="8" w:space="0" w:color="9B9795" w:themeColor="accent1"/>
        </w:tcBorders>
      </w:tcPr>
    </w:tblStylePr>
    <w:tblStylePr w:type="firstCol">
      <w:rPr>
        <w:b/>
        <w:bCs/>
      </w:rPr>
    </w:tblStylePr>
    <w:tblStylePr w:type="lastCol">
      <w:rPr>
        <w:b/>
        <w:bCs/>
      </w:rPr>
    </w:tblStylePr>
    <w:tblStylePr w:type="band1Vert">
      <w:tblPr/>
      <w:tcPr>
        <w:tcBorders>
          <w:top w:val="single" w:sz="8" w:space="0" w:color="9B9795" w:themeColor="accent1"/>
          <w:left w:val="single" w:sz="8" w:space="0" w:color="9B9795" w:themeColor="accent1"/>
          <w:bottom w:val="single" w:sz="8" w:space="0" w:color="9B9795" w:themeColor="accent1"/>
          <w:right w:val="single" w:sz="8" w:space="0" w:color="9B9795" w:themeColor="accent1"/>
        </w:tcBorders>
      </w:tcPr>
    </w:tblStylePr>
    <w:tblStylePr w:type="band1Horz">
      <w:tblPr/>
      <w:tcPr>
        <w:tcBorders>
          <w:top w:val="single" w:sz="8" w:space="0" w:color="9B9795" w:themeColor="accent1"/>
          <w:left w:val="single" w:sz="8" w:space="0" w:color="9B9795" w:themeColor="accent1"/>
          <w:bottom w:val="single" w:sz="8" w:space="0" w:color="9B9795" w:themeColor="accent1"/>
          <w:right w:val="single" w:sz="8" w:space="0" w:color="9B9795" w:themeColor="accent1"/>
        </w:tcBorders>
      </w:tcPr>
    </w:tblStylePr>
  </w:style>
  <w:style w:type="table" w:styleId="LightList-Accent2">
    <w:name w:val="Light List Accent 2"/>
    <w:basedOn w:val="TableNormal"/>
    <w:uiPriority w:val="61"/>
    <w:rsid w:val="008552F5"/>
    <w:pPr>
      <w:spacing w:after="0" w:line="240" w:lineRule="auto"/>
    </w:pPr>
    <w:tblPr>
      <w:tblStyleRowBandSize w:val="1"/>
      <w:tblStyleColBandSize w:val="1"/>
      <w:tblBorders>
        <w:top w:val="single" w:sz="8" w:space="0" w:color="CE7628" w:themeColor="accent2"/>
        <w:left w:val="single" w:sz="8" w:space="0" w:color="CE7628" w:themeColor="accent2"/>
        <w:bottom w:val="single" w:sz="8" w:space="0" w:color="CE7628" w:themeColor="accent2"/>
        <w:right w:val="single" w:sz="8" w:space="0" w:color="CE7628" w:themeColor="accent2"/>
      </w:tblBorders>
    </w:tblPr>
    <w:tblStylePr w:type="firstRow">
      <w:pPr>
        <w:spacing w:before="0" w:after="0" w:line="240" w:lineRule="auto"/>
      </w:pPr>
      <w:rPr>
        <w:b/>
        <w:bCs/>
        <w:color w:val="FFFFFF" w:themeColor="background1"/>
      </w:rPr>
      <w:tblPr/>
      <w:tcPr>
        <w:shd w:val="clear" w:color="auto" w:fill="CE7628" w:themeFill="accent2"/>
      </w:tcPr>
    </w:tblStylePr>
    <w:tblStylePr w:type="lastRow">
      <w:pPr>
        <w:spacing w:before="0" w:after="0" w:line="240" w:lineRule="auto"/>
      </w:pPr>
      <w:rPr>
        <w:b/>
        <w:bCs/>
      </w:rPr>
      <w:tblPr/>
      <w:tcPr>
        <w:tcBorders>
          <w:top w:val="double" w:sz="6" w:space="0" w:color="CE7628" w:themeColor="accent2"/>
          <w:left w:val="single" w:sz="8" w:space="0" w:color="CE7628" w:themeColor="accent2"/>
          <w:bottom w:val="single" w:sz="8" w:space="0" w:color="CE7628" w:themeColor="accent2"/>
          <w:right w:val="single" w:sz="8" w:space="0" w:color="CE7628" w:themeColor="accent2"/>
        </w:tcBorders>
      </w:tcPr>
    </w:tblStylePr>
    <w:tblStylePr w:type="firstCol">
      <w:rPr>
        <w:b/>
        <w:bCs/>
      </w:rPr>
    </w:tblStylePr>
    <w:tblStylePr w:type="lastCol">
      <w:rPr>
        <w:b/>
        <w:bCs/>
      </w:rPr>
    </w:tblStylePr>
    <w:tblStylePr w:type="band1Vert">
      <w:tblPr/>
      <w:tcPr>
        <w:tcBorders>
          <w:top w:val="single" w:sz="8" w:space="0" w:color="CE7628" w:themeColor="accent2"/>
          <w:left w:val="single" w:sz="8" w:space="0" w:color="CE7628" w:themeColor="accent2"/>
          <w:bottom w:val="single" w:sz="8" w:space="0" w:color="CE7628" w:themeColor="accent2"/>
          <w:right w:val="single" w:sz="8" w:space="0" w:color="CE7628" w:themeColor="accent2"/>
        </w:tcBorders>
      </w:tcPr>
    </w:tblStylePr>
    <w:tblStylePr w:type="band1Horz">
      <w:tblPr/>
      <w:tcPr>
        <w:tcBorders>
          <w:top w:val="single" w:sz="8" w:space="0" w:color="CE7628" w:themeColor="accent2"/>
          <w:left w:val="single" w:sz="8" w:space="0" w:color="CE7628" w:themeColor="accent2"/>
          <w:bottom w:val="single" w:sz="8" w:space="0" w:color="CE7628" w:themeColor="accent2"/>
          <w:right w:val="single" w:sz="8" w:space="0" w:color="CE7628" w:themeColor="accent2"/>
        </w:tcBorders>
      </w:tcPr>
    </w:tblStylePr>
  </w:style>
  <w:style w:type="table" w:styleId="LightList-Accent3">
    <w:name w:val="Light List Accent 3"/>
    <w:basedOn w:val="TableNormal"/>
    <w:uiPriority w:val="61"/>
    <w:rsid w:val="008552F5"/>
    <w:pPr>
      <w:spacing w:after="0" w:line="240" w:lineRule="auto"/>
    </w:pPr>
    <w:tblPr>
      <w:tblStyleRowBandSize w:val="1"/>
      <w:tblStyleColBandSize w:val="1"/>
      <w:tblBorders>
        <w:top w:val="single" w:sz="8" w:space="0" w:color="497537" w:themeColor="accent3"/>
        <w:left w:val="single" w:sz="8" w:space="0" w:color="497537" w:themeColor="accent3"/>
        <w:bottom w:val="single" w:sz="8" w:space="0" w:color="497537" w:themeColor="accent3"/>
        <w:right w:val="single" w:sz="8" w:space="0" w:color="497537" w:themeColor="accent3"/>
      </w:tblBorders>
    </w:tblPr>
    <w:tblStylePr w:type="firstRow">
      <w:pPr>
        <w:spacing w:before="0" w:after="0" w:line="240" w:lineRule="auto"/>
      </w:pPr>
      <w:rPr>
        <w:b/>
        <w:bCs/>
        <w:color w:val="FFFFFF" w:themeColor="background1"/>
      </w:rPr>
      <w:tblPr/>
      <w:tcPr>
        <w:shd w:val="clear" w:color="auto" w:fill="497537" w:themeFill="accent3"/>
      </w:tcPr>
    </w:tblStylePr>
    <w:tblStylePr w:type="lastRow">
      <w:pPr>
        <w:spacing w:before="0" w:after="0" w:line="240" w:lineRule="auto"/>
      </w:pPr>
      <w:rPr>
        <w:b/>
        <w:bCs/>
      </w:rPr>
      <w:tblPr/>
      <w:tcPr>
        <w:tcBorders>
          <w:top w:val="double" w:sz="6" w:space="0" w:color="497537" w:themeColor="accent3"/>
          <w:left w:val="single" w:sz="8" w:space="0" w:color="497537" w:themeColor="accent3"/>
          <w:bottom w:val="single" w:sz="8" w:space="0" w:color="497537" w:themeColor="accent3"/>
          <w:right w:val="single" w:sz="8" w:space="0" w:color="497537" w:themeColor="accent3"/>
        </w:tcBorders>
      </w:tcPr>
    </w:tblStylePr>
    <w:tblStylePr w:type="firstCol">
      <w:rPr>
        <w:b/>
        <w:bCs/>
      </w:rPr>
    </w:tblStylePr>
    <w:tblStylePr w:type="lastCol">
      <w:rPr>
        <w:b/>
        <w:bCs/>
      </w:rPr>
    </w:tblStylePr>
    <w:tblStylePr w:type="band1Vert">
      <w:tblPr/>
      <w:tcPr>
        <w:tcBorders>
          <w:top w:val="single" w:sz="8" w:space="0" w:color="497537" w:themeColor="accent3"/>
          <w:left w:val="single" w:sz="8" w:space="0" w:color="497537" w:themeColor="accent3"/>
          <w:bottom w:val="single" w:sz="8" w:space="0" w:color="497537" w:themeColor="accent3"/>
          <w:right w:val="single" w:sz="8" w:space="0" w:color="497537" w:themeColor="accent3"/>
        </w:tcBorders>
      </w:tcPr>
    </w:tblStylePr>
    <w:tblStylePr w:type="band1Horz">
      <w:tblPr/>
      <w:tcPr>
        <w:tcBorders>
          <w:top w:val="single" w:sz="8" w:space="0" w:color="497537" w:themeColor="accent3"/>
          <w:left w:val="single" w:sz="8" w:space="0" w:color="497537" w:themeColor="accent3"/>
          <w:bottom w:val="single" w:sz="8" w:space="0" w:color="497537" w:themeColor="accent3"/>
          <w:right w:val="single" w:sz="8" w:space="0" w:color="497537" w:themeColor="accent3"/>
        </w:tcBorders>
      </w:tcPr>
    </w:tblStylePr>
  </w:style>
  <w:style w:type="table" w:styleId="LightList-Accent4">
    <w:name w:val="Light List Accent 4"/>
    <w:basedOn w:val="TableNormal"/>
    <w:uiPriority w:val="61"/>
    <w:rsid w:val="008552F5"/>
    <w:pPr>
      <w:spacing w:after="0" w:line="240" w:lineRule="auto"/>
    </w:pPr>
    <w:tblPr>
      <w:tblStyleRowBandSize w:val="1"/>
      <w:tblStyleColBandSize w:val="1"/>
      <w:tblBorders>
        <w:top w:val="single" w:sz="8" w:space="0" w:color="A19836" w:themeColor="accent4"/>
        <w:left w:val="single" w:sz="8" w:space="0" w:color="A19836" w:themeColor="accent4"/>
        <w:bottom w:val="single" w:sz="8" w:space="0" w:color="A19836" w:themeColor="accent4"/>
        <w:right w:val="single" w:sz="8" w:space="0" w:color="A19836" w:themeColor="accent4"/>
      </w:tblBorders>
    </w:tblPr>
    <w:tblStylePr w:type="firstRow">
      <w:pPr>
        <w:spacing w:before="0" w:after="0" w:line="240" w:lineRule="auto"/>
      </w:pPr>
      <w:rPr>
        <w:b/>
        <w:bCs/>
        <w:color w:val="FFFFFF" w:themeColor="background1"/>
      </w:rPr>
      <w:tblPr/>
      <w:tcPr>
        <w:shd w:val="clear" w:color="auto" w:fill="A19836" w:themeFill="accent4"/>
      </w:tcPr>
    </w:tblStylePr>
    <w:tblStylePr w:type="lastRow">
      <w:pPr>
        <w:spacing w:before="0" w:after="0" w:line="240" w:lineRule="auto"/>
      </w:pPr>
      <w:rPr>
        <w:b/>
        <w:bCs/>
      </w:rPr>
      <w:tblPr/>
      <w:tcPr>
        <w:tcBorders>
          <w:top w:val="double" w:sz="6" w:space="0" w:color="A19836" w:themeColor="accent4"/>
          <w:left w:val="single" w:sz="8" w:space="0" w:color="A19836" w:themeColor="accent4"/>
          <w:bottom w:val="single" w:sz="8" w:space="0" w:color="A19836" w:themeColor="accent4"/>
          <w:right w:val="single" w:sz="8" w:space="0" w:color="A19836" w:themeColor="accent4"/>
        </w:tcBorders>
      </w:tcPr>
    </w:tblStylePr>
    <w:tblStylePr w:type="firstCol">
      <w:rPr>
        <w:b/>
        <w:bCs/>
      </w:rPr>
    </w:tblStylePr>
    <w:tblStylePr w:type="lastCol">
      <w:rPr>
        <w:b/>
        <w:bCs/>
      </w:rPr>
    </w:tblStylePr>
    <w:tblStylePr w:type="band1Vert">
      <w:tblPr/>
      <w:tcPr>
        <w:tcBorders>
          <w:top w:val="single" w:sz="8" w:space="0" w:color="A19836" w:themeColor="accent4"/>
          <w:left w:val="single" w:sz="8" w:space="0" w:color="A19836" w:themeColor="accent4"/>
          <w:bottom w:val="single" w:sz="8" w:space="0" w:color="A19836" w:themeColor="accent4"/>
          <w:right w:val="single" w:sz="8" w:space="0" w:color="A19836" w:themeColor="accent4"/>
        </w:tcBorders>
      </w:tcPr>
    </w:tblStylePr>
    <w:tblStylePr w:type="band1Horz">
      <w:tblPr/>
      <w:tcPr>
        <w:tcBorders>
          <w:top w:val="single" w:sz="8" w:space="0" w:color="A19836" w:themeColor="accent4"/>
          <w:left w:val="single" w:sz="8" w:space="0" w:color="A19836" w:themeColor="accent4"/>
          <w:bottom w:val="single" w:sz="8" w:space="0" w:color="A19836" w:themeColor="accent4"/>
          <w:right w:val="single" w:sz="8" w:space="0" w:color="A19836" w:themeColor="accent4"/>
        </w:tcBorders>
      </w:tcPr>
    </w:tblStylePr>
  </w:style>
  <w:style w:type="table" w:styleId="LightList-Accent5">
    <w:name w:val="Light List Accent 5"/>
    <w:basedOn w:val="TableNormal"/>
    <w:uiPriority w:val="61"/>
    <w:rsid w:val="008552F5"/>
    <w:pPr>
      <w:spacing w:after="0" w:line="240" w:lineRule="auto"/>
    </w:pPr>
    <w:tblPr>
      <w:tblStyleRowBandSize w:val="1"/>
      <w:tblStyleColBandSize w:val="1"/>
      <w:tblBorders>
        <w:top w:val="single" w:sz="8" w:space="0" w:color="753749" w:themeColor="accent5"/>
        <w:left w:val="single" w:sz="8" w:space="0" w:color="753749" w:themeColor="accent5"/>
        <w:bottom w:val="single" w:sz="8" w:space="0" w:color="753749" w:themeColor="accent5"/>
        <w:right w:val="single" w:sz="8" w:space="0" w:color="753749" w:themeColor="accent5"/>
      </w:tblBorders>
    </w:tblPr>
    <w:tblStylePr w:type="firstRow">
      <w:pPr>
        <w:spacing w:before="0" w:after="0" w:line="240" w:lineRule="auto"/>
      </w:pPr>
      <w:rPr>
        <w:b/>
        <w:bCs/>
        <w:color w:val="FFFFFF" w:themeColor="background1"/>
      </w:rPr>
      <w:tblPr/>
      <w:tcPr>
        <w:shd w:val="clear" w:color="auto" w:fill="753749" w:themeFill="accent5"/>
      </w:tcPr>
    </w:tblStylePr>
    <w:tblStylePr w:type="lastRow">
      <w:pPr>
        <w:spacing w:before="0" w:after="0" w:line="240" w:lineRule="auto"/>
      </w:pPr>
      <w:rPr>
        <w:b/>
        <w:bCs/>
      </w:rPr>
      <w:tblPr/>
      <w:tcPr>
        <w:tcBorders>
          <w:top w:val="double" w:sz="6" w:space="0" w:color="753749" w:themeColor="accent5"/>
          <w:left w:val="single" w:sz="8" w:space="0" w:color="753749" w:themeColor="accent5"/>
          <w:bottom w:val="single" w:sz="8" w:space="0" w:color="753749" w:themeColor="accent5"/>
          <w:right w:val="single" w:sz="8" w:space="0" w:color="753749" w:themeColor="accent5"/>
        </w:tcBorders>
      </w:tcPr>
    </w:tblStylePr>
    <w:tblStylePr w:type="firstCol">
      <w:rPr>
        <w:b/>
        <w:bCs/>
      </w:rPr>
    </w:tblStylePr>
    <w:tblStylePr w:type="lastCol">
      <w:rPr>
        <w:b/>
        <w:bCs/>
      </w:rPr>
    </w:tblStylePr>
    <w:tblStylePr w:type="band1Vert">
      <w:tblPr/>
      <w:tcPr>
        <w:tcBorders>
          <w:top w:val="single" w:sz="8" w:space="0" w:color="753749" w:themeColor="accent5"/>
          <w:left w:val="single" w:sz="8" w:space="0" w:color="753749" w:themeColor="accent5"/>
          <w:bottom w:val="single" w:sz="8" w:space="0" w:color="753749" w:themeColor="accent5"/>
          <w:right w:val="single" w:sz="8" w:space="0" w:color="753749" w:themeColor="accent5"/>
        </w:tcBorders>
      </w:tcPr>
    </w:tblStylePr>
    <w:tblStylePr w:type="band1Horz">
      <w:tblPr/>
      <w:tcPr>
        <w:tcBorders>
          <w:top w:val="single" w:sz="8" w:space="0" w:color="753749" w:themeColor="accent5"/>
          <w:left w:val="single" w:sz="8" w:space="0" w:color="753749" w:themeColor="accent5"/>
          <w:bottom w:val="single" w:sz="8" w:space="0" w:color="753749" w:themeColor="accent5"/>
          <w:right w:val="single" w:sz="8" w:space="0" w:color="753749" w:themeColor="accent5"/>
        </w:tcBorders>
      </w:tcPr>
    </w:tblStylePr>
  </w:style>
  <w:style w:type="table" w:styleId="LightList-Accent6">
    <w:name w:val="Light List Accent 6"/>
    <w:basedOn w:val="TableNormal"/>
    <w:uiPriority w:val="61"/>
    <w:rsid w:val="008552F5"/>
    <w:pPr>
      <w:spacing w:after="0" w:line="240" w:lineRule="auto"/>
    </w:pPr>
    <w:tblPr>
      <w:tblStyleRowBandSize w:val="1"/>
      <w:tblStyleColBandSize w:val="1"/>
      <w:tblBorders>
        <w:top w:val="single" w:sz="8" w:space="0" w:color="F1AF1A" w:themeColor="accent6"/>
        <w:left w:val="single" w:sz="8" w:space="0" w:color="F1AF1A" w:themeColor="accent6"/>
        <w:bottom w:val="single" w:sz="8" w:space="0" w:color="F1AF1A" w:themeColor="accent6"/>
        <w:right w:val="single" w:sz="8" w:space="0" w:color="F1AF1A" w:themeColor="accent6"/>
      </w:tblBorders>
    </w:tblPr>
    <w:tblStylePr w:type="firstRow">
      <w:pPr>
        <w:spacing w:before="0" w:after="0" w:line="240" w:lineRule="auto"/>
      </w:pPr>
      <w:rPr>
        <w:b/>
        <w:bCs/>
        <w:color w:val="FFFFFF" w:themeColor="background1"/>
      </w:rPr>
      <w:tblPr/>
      <w:tcPr>
        <w:shd w:val="clear" w:color="auto" w:fill="F1AF1A" w:themeFill="accent6"/>
      </w:tcPr>
    </w:tblStylePr>
    <w:tblStylePr w:type="lastRow">
      <w:pPr>
        <w:spacing w:before="0" w:after="0" w:line="240" w:lineRule="auto"/>
      </w:pPr>
      <w:rPr>
        <w:b/>
        <w:bCs/>
      </w:rPr>
      <w:tblPr/>
      <w:tcPr>
        <w:tcBorders>
          <w:top w:val="double" w:sz="6" w:space="0" w:color="F1AF1A" w:themeColor="accent6"/>
          <w:left w:val="single" w:sz="8" w:space="0" w:color="F1AF1A" w:themeColor="accent6"/>
          <w:bottom w:val="single" w:sz="8" w:space="0" w:color="F1AF1A" w:themeColor="accent6"/>
          <w:right w:val="single" w:sz="8" w:space="0" w:color="F1AF1A" w:themeColor="accent6"/>
        </w:tcBorders>
      </w:tcPr>
    </w:tblStylePr>
    <w:tblStylePr w:type="firstCol">
      <w:rPr>
        <w:b/>
        <w:bCs/>
      </w:rPr>
    </w:tblStylePr>
    <w:tblStylePr w:type="lastCol">
      <w:rPr>
        <w:b/>
        <w:bCs/>
      </w:rPr>
    </w:tblStylePr>
    <w:tblStylePr w:type="band1Vert">
      <w:tblPr/>
      <w:tcPr>
        <w:tcBorders>
          <w:top w:val="single" w:sz="8" w:space="0" w:color="F1AF1A" w:themeColor="accent6"/>
          <w:left w:val="single" w:sz="8" w:space="0" w:color="F1AF1A" w:themeColor="accent6"/>
          <w:bottom w:val="single" w:sz="8" w:space="0" w:color="F1AF1A" w:themeColor="accent6"/>
          <w:right w:val="single" w:sz="8" w:space="0" w:color="F1AF1A" w:themeColor="accent6"/>
        </w:tcBorders>
      </w:tcPr>
    </w:tblStylePr>
    <w:tblStylePr w:type="band1Horz">
      <w:tblPr/>
      <w:tcPr>
        <w:tcBorders>
          <w:top w:val="single" w:sz="8" w:space="0" w:color="F1AF1A" w:themeColor="accent6"/>
          <w:left w:val="single" w:sz="8" w:space="0" w:color="F1AF1A" w:themeColor="accent6"/>
          <w:bottom w:val="single" w:sz="8" w:space="0" w:color="F1AF1A" w:themeColor="accent6"/>
          <w:right w:val="single" w:sz="8" w:space="0" w:color="F1AF1A" w:themeColor="accent6"/>
        </w:tcBorders>
      </w:tcPr>
    </w:tblStylePr>
  </w:style>
  <w:style w:type="table" w:styleId="LightShading">
    <w:name w:val="Light Shading"/>
    <w:basedOn w:val="TableNormal"/>
    <w:uiPriority w:val="60"/>
    <w:rsid w:val="00AF2717"/>
    <w:pPr>
      <w:spacing w:after="0" w:line="240" w:lineRule="auto"/>
    </w:pPr>
    <w:rPr>
      <w:rFonts w:ascii="Times New Roman" w:eastAsia="Times New Roman" w:hAnsi="Times New Roman" w:cs="Times New Roman"/>
      <w:color w:val="75706E" w:themeColor="text1" w:themeShade="BF"/>
      <w:lang w:eastAsia="en-GB"/>
    </w:rPr>
    <w:tblPr>
      <w:tblStyleRowBandSize w:val="1"/>
      <w:tblStyleColBandSize w:val="1"/>
      <w:tblBorders>
        <w:top w:val="single" w:sz="8" w:space="0" w:color="9B9795" w:themeColor="text1"/>
        <w:bottom w:val="single" w:sz="8" w:space="0" w:color="9B9795" w:themeColor="text1"/>
      </w:tblBorders>
    </w:tblPr>
    <w:tblStylePr w:type="firstRow">
      <w:pPr>
        <w:spacing w:before="0" w:after="0" w:line="240" w:lineRule="auto"/>
      </w:pPr>
      <w:rPr>
        <w:b/>
        <w:bCs/>
      </w:rPr>
      <w:tblPr/>
      <w:tcPr>
        <w:tcBorders>
          <w:top w:val="single" w:sz="8" w:space="0" w:color="9B9795" w:themeColor="text1"/>
          <w:left w:val="nil"/>
          <w:bottom w:val="single" w:sz="8" w:space="0" w:color="9B9795" w:themeColor="text1"/>
          <w:right w:val="nil"/>
          <w:insideH w:val="nil"/>
          <w:insideV w:val="nil"/>
        </w:tcBorders>
      </w:tcPr>
    </w:tblStylePr>
    <w:tblStylePr w:type="lastRow">
      <w:pPr>
        <w:spacing w:before="0" w:after="0" w:line="240" w:lineRule="auto"/>
      </w:pPr>
      <w:rPr>
        <w:b/>
        <w:bCs/>
      </w:rPr>
      <w:tblPr/>
      <w:tcPr>
        <w:tcBorders>
          <w:top w:val="single" w:sz="8" w:space="0" w:color="9B9795" w:themeColor="text1"/>
          <w:left w:val="nil"/>
          <w:bottom w:val="single" w:sz="8" w:space="0" w:color="9B9795"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5E4" w:themeFill="text1" w:themeFillTint="3F"/>
      </w:tcPr>
    </w:tblStylePr>
    <w:tblStylePr w:type="band1Horz">
      <w:tblPr/>
      <w:tcPr>
        <w:tcBorders>
          <w:left w:val="nil"/>
          <w:right w:val="nil"/>
          <w:insideH w:val="nil"/>
          <w:insideV w:val="nil"/>
        </w:tcBorders>
        <w:shd w:val="clear" w:color="auto" w:fill="E6E5E4" w:themeFill="text1" w:themeFillTint="3F"/>
      </w:tcPr>
    </w:tblStylePr>
  </w:style>
  <w:style w:type="table" w:styleId="LightShading-Accent1">
    <w:name w:val="Light Shading Accent 1"/>
    <w:basedOn w:val="TableNormal"/>
    <w:uiPriority w:val="60"/>
    <w:rsid w:val="008552F5"/>
    <w:pPr>
      <w:spacing w:after="0" w:line="240" w:lineRule="auto"/>
    </w:pPr>
    <w:rPr>
      <w:color w:val="75706E" w:themeColor="accent1" w:themeShade="BF"/>
    </w:rPr>
    <w:tblPr>
      <w:tblStyleRowBandSize w:val="1"/>
      <w:tblStyleColBandSize w:val="1"/>
      <w:tblBorders>
        <w:top w:val="single" w:sz="8" w:space="0" w:color="9B9795" w:themeColor="accent1"/>
        <w:bottom w:val="single" w:sz="8" w:space="0" w:color="9B9795" w:themeColor="accent1"/>
      </w:tblBorders>
    </w:tblPr>
    <w:tblStylePr w:type="firstRow">
      <w:pPr>
        <w:spacing w:before="0" w:after="0" w:line="240" w:lineRule="auto"/>
      </w:pPr>
      <w:rPr>
        <w:b/>
        <w:bCs/>
      </w:rPr>
      <w:tblPr/>
      <w:tcPr>
        <w:tcBorders>
          <w:top w:val="single" w:sz="8" w:space="0" w:color="9B9795" w:themeColor="accent1"/>
          <w:left w:val="nil"/>
          <w:bottom w:val="single" w:sz="8" w:space="0" w:color="9B9795" w:themeColor="accent1"/>
          <w:right w:val="nil"/>
          <w:insideH w:val="nil"/>
          <w:insideV w:val="nil"/>
        </w:tcBorders>
      </w:tcPr>
    </w:tblStylePr>
    <w:tblStylePr w:type="lastRow">
      <w:pPr>
        <w:spacing w:before="0" w:after="0" w:line="240" w:lineRule="auto"/>
      </w:pPr>
      <w:rPr>
        <w:b/>
        <w:bCs/>
      </w:rPr>
      <w:tblPr/>
      <w:tcPr>
        <w:tcBorders>
          <w:top w:val="single" w:sz="8" w:space="0" w:color="9B9795" w:themeColor="accent1"/>
          <w:left w:val="nil"/>
          <w:bottom w:val="single" w:sz="8" w:space="0" w:color="9B979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5E4" w:themeFill="accent1" w:themeFillTint="3F"/>
      </w:tcPr>
    </w:tblStylePr>
    <w:tblStylePr w:type="band1Horz">
      <w:tblPr/>
      <w:tcPr>
        <w:tcBorders>
          <w:left w:val="nil"/>
          <w:right w:val="nil"/>
          <w:insideH w:val="nil"/>
          <w:insideV w:val="nil"/>
        </w:tcBorders>
        <w:shd w:val="clear" w:color="auto" w:fill="E6E5E4" w:themeFill="accent1" w:themeFillTint="3F"/>
      </w:tcPr>
    </w:tblStylePr>
  </w:style>
  <w:style w:type="table" w:styleId="LightShading-Accent2">
    <w:name w:val="Light Shading Accent 2"/>
    <w:basedOn w:val="TableNormal"/>
    <w:uiPriority w:val="60"/>
    <w:rsid w:val="008552F5"/>
    <w:pPr>
      <w:spacing w:after="0" w:line="240" w:lineRule="auto"/>
    </w:pPr>
    <w:rPr>
      <w:color w:val="9A571E" w:themeColor="accent2" w:themeShade="BF"/>
    </w:rPr>
    <w:tblPr>
      <w:tblStyleRowBandSize w:val="1"/>
      <w:tblStyleColBandSize w:val="1"/>
      <w:tblBorders>
        <w:top w:val="single" w:sz="8" w:space="0" w:color="CE7628" w:themeColor="accent2"/>
        <w:bottom w:val="single" w:sz="8" w:space="0" w:color="CE7628" w:themeColor="accent2"/>
      </w:tblBorders>
    </w:tblPr>
    <w:tblStylePr w:type="firstRow">
      <w:pPr>
        <w:spacing w:before="0" w:after="0" w:line="240" w:lineRule="auto"/>
      </w:pPr>
      <w:rPr>
        <w:b/>
        <w:bCs/>
      </w:rPr>
      <w:tblPr/>
      <w:tcPr>
        <w:tcBorders>
          <w:top w:val="single" w:sz="8" w:space="0" w:color="CE7628" w:themeColor="accent2"/>
          <w:left w:val="nil"/>
          <w:bottom w:val="single" w:sz="8" w:space="0" w:color="CE7628" w:themeColor="accent2"/>
          <w:right w:val="nil"/>
          <w:insideH w:val="nil"/>
          <w:insideV w:val="nil"/>
        </w:tcBorders>
      </w:tcPr>
    </w:tblStylePr>
    <w:tblStylePr w:type="lastRow">
      <w:pPr>
        <w:spacing w:before="0" w:after="0" w:line="240" w:lineRule="auto"/>
      </w:pPr>
      <w:rPr>
        <w:b/>
        <w:bCs/>
      </w:rPr>
      <w:tblPr/>
      <w:tcPr>
        <w:tcBorders>
          <w:top w:val="single" w:sz="8" w:space="0" w:color="CE7628" w:themeColor="accent2"/>
          <w:left w:val="nil"/>
          <w:bottom w:val="single" w:sz="8" w:space="0" w:color="CE762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CC8" w:themeFill="accent2" w:themeFillTint="3F"/>
      </w:tcPr>
    </w:tblStylePr>
    <w:tblStylePr w:type="band1Horz">
      <w:tblPr/>
      <w:tcPr>
        <w:tcBorders>
          <w:left w:val="nil"/>
          <w:right w:val="nil"/>
          <w:insideH w:val="nil"/>
          <w:insideV w:val="nil"/>
        </w:tcBorders>
        <w:shd w:val="clear" w:color="auto" w:fill="F4DCC8" w:themeFill="accent2" w:themeFillTint="3F"/>
      </w:tcPr>
    </w:tblStylePr>
  </w:style>
  <w:style w:type="table" w:styleId="LightShading-Accent3">
    <w:name w:val="Light Shading Accent 3"/>
    <w:basedOn w:val="TableNormal"/>
    <w:uiPriority w:val="60"/>
    <w:rsid w:val="008552F5"/>
    <w:pPr>
      <w:spacing w:after="0" w:line="240" w:lineRule="auto"/>
    </w:pPr>
    <w:rPr>
      <w:color w:val="365729" w:themeColor="accent3" w:themeShade="BF"/>
    </w:rPr>
    <w:tblPr>
      <w:tblStyleRowBandSize w:val="1"/>
      <w:tblStyleColBandSize w:val="1"/>
      <w:tblBorders>
        <w:top w:val="single" w:sz="8" w:space="0" w:color="497537" w:themeColor="accent3"/>
        <w:bottom w:val="single" w:sz="8" w:space="0" w:color="497537" w:themeColor="accent3"/>
      </w:tblBorders>
    </w:tblPr>
    <w:tblStylePr w:type="firstRow">
      <w:pPr>
        <w:spacing w:before="0" w:after="0" w:line="240" w:lineRule="auto"/>
      </w:pPr>
      <w:rPr>
        <w:b/>
        <w:bCs/>
      </w:rPr>
      <w:tblPr/>
      <w:tcPr>
        <w:tcBorders>
          <w:top w:val="single" w:sz="8" w:space="0" w:color="497537" w:themeColor="accent3"/>
          <w:left w:val="nil"/>
          <w:bottom w:val="single" w:sz="8" w:space="0" w:color="497537" w:themeColor="accent3"/>
          <w:right w:val="nil"/>
          <w:insideH w:val="nil"/>
          <w:insideV w:val="nil"/>
        </w:tcBorders>
      </w:tcPr>
    </w:tblStylePr>
    <w:tblStylePr w:type="lastRow">
      <w:pPr>
        <w:spacing w:before="0" w:after="0" w:line="240" w:lineRule="auto"/>
      </w:pPr>
      <w:rPr>
        <w:b/>
        <w:bCs/>
      </w:rPr>
      <w:tblPr/>
      <w:tcPr>
        <w:tcBorders>
          <w:top w:val="single" w:sz="8" w:space="0" w:color="497537" w:themeColor="accent3"/>
          <w:left w:val="nil"/>
          <w:bottom w:val="single" w:sz="8" w:space="0" w:color="49753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4C6" w:themeFill="accent3" w:themeFillTint="3F"/>
      </w:tcPr>
    </w:tblStylePr>
    <w:tblStylePr w:type="band1Horz">
      <w:tblPr/>
      <w:tcPr>
        <w:tcBorders>
          <w:left w:val="nil"/>
          <w:right w:val="nil"/>
          <w:insideH w:val="nil"/>
          <w:insideV w:val="nil"/>
        </w:tcBorders>
        <w:shd w:val="clear" w:color="auto" w:fill="CEE4C6" w:themeFill="accent3" w:themeFillTint="3F"/>
      </w:tcPr>
    </w:tblStylePr>
  </w:style>
  <w:style w:type="table" w:styleId="LightShading-Accent4">
    <w:name w:val="Light Shading Accent 4"/>
    <w:basedOn w:val="TableNormal"/>
    <w:uiPriority w:val="60"/>
    <w:rsid w:val="008552F5"/>
    <w:pPr>
      <w:spacing w:after="0" w:line="240" w:lineRule="auto"/>
    </w:pPr>
    <w:rPr>
      <w:color w:val="787128" w:themeColor="accent4" w:themeShade="BF"/>
    </w:rPr>
    <w:tblPr>
      <w:tblStyleRowBandSize w:val="1"/>
      <w:tblStyleColBandSize w:val="1"/>
      <w:tblBorders>
        <w:top w:val="single" w:sz="8" w:space="0" w:color="A19836" w:themeColor="accent4"/>
        <w:bottom w:val="single" w:sz="8" w:space="0" w:color="A19836" w:themeColor="accent4"/>
      </w:tblBorders>
    </w:tblPr>
    <w:tblStylePr w:type="firstRow">
      <w:pPr>
        <w:spacing w:before="0" w:after="0" w:line="240" w:lineRule="auto"/>
      </w:pPr>
      <w:rPr>
        <w:b/>
        <w:bCs/>
      </w:rPr>
      <w:tblPr/>
      <w:tcPr>
        <w:tcBorders>
          <w:top w:val="single" w:sz="8" w:space="0" w:color="A19836" w:themeColor="accent4"/>
          <w:left w:val="nil"/>
          <w:bottom w:val="single" w:sz="8" w:space="0" w:color="A19836" w:themeColor="accent4"/>
          <w:right w:val="nil"/>
          <w:insideH w:val="nil"/>
          <w:insideV w:val="nil"/>
        </w:tcBorders>
      </w:tcPr>
    </w:tblStylePr>
    <w:tblStylePr w:type="lastRow">
      <w:pPr>
        <w:spacing w:before="0" w:after="0" w:line="240" w:lineRule="auto"/>
      </w:pPr>
      <w:rPr>
        <w:b/>
        <w:bCs/>
      </w:rPr>
      <w:tblPr/>
      <w:tcPr>
        <w:tcBorders>
          <w:top w:val="single" w:sz="8" w:space="0" w:color="A19836" w:themeColor="accent4"/>
          <w:left w:val="nil"/>
          <w:bottom w:val="single" w:sz="8" w:space="0" w:color="A1983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9C8" w:themeFill="accent4" w:themeFillTint="3F"/>
      </w:tcPr>
    </w:tblStylePr>
    <w:tblStylePr w:type="band1Horz">
      <w:tblPr/>
      <w:tcPr>
        <w:tcBorders>
          <w:left w:val="nil"/>
          <w:right w:val="nil"/>
          <w:insideH w:val="nil"/>
          <w:insideV w:val="nil"/>
        </w:tcBorders>
        <w:shd w:val="clear" w:color="auto" w:fill="ECE9C8" w:themeFill="accent4" w:themeFillTint="3F"/>
      </w:tcPr>
    </w:tblStylePr>
  </w:style>
  <w:style w:type="table" w:styleId="LightShading-Accent5">
    <w:name w:val="Light Shading Accent 5"/>
    <w:basedOn w:val="TableNormal"/>
    <w:uiPriority w:val="60"/>
    <w:rsid w:val="008552F5"/>
    <w:pPr>
      <w:spacing w:after="0" w:line="240" w:lineRule="auto"/>
    </w:pPr>
    <w:rPr>
      <w:color w:val="572936" w:themeColor="accent5" w:themeShade="BF"/>
    </w:rPr>
    <w:tblPr>
      <w:tblStyleRowBandSize w:val="1"/>
      <w:tblStyleColBandSize w:val="1"/>
      <w:tblBorders>
        <w:top w:val="single" w:sz="8" w:space="0" w:color="753749" w:themeColor="accent5"/>
        <w:bottom w:val="single" w:sz="8" w:space="0" w:color="753749" w:themeColor="accent5"/>
      </w:tblBorders>
    </w:tblPr>
    <w:tblStylePr w:type="firstRow">
      <w:pPr>
        <w:spacing w:before="0" w:after="0" w:line="240" w:lineRule="auto"/>
      </w:pPr>
      <w:rPr>
        <w:b/>
        <w:bCs/>
      </w:rPr>
      <w:tblPr/>
      <w:tcPr>
        <w:tcBorders>
          <w:top w:val="single" w:sz="8" w:space="0" w:color="753749" w:themeColor="accent5"/>
          <w:left w:val="nil"/>
          <w:bottom w:val="single" w:sz="8" w:space="0" w:color="753749" w:themeColor="accent5"/>
          <w:right w:val="nil"/>
          <w:insideH w:val="nil"/>
          <w:insideV w:val="nil"/>
        </w:tcBorders>
      </w:tcPr>
    </w:tblStylePr>
    <w:tblStylePr w:type="lastRow">
      <w:pPr>
        <w:spacing w:before="0" w:after="0" w:line="240" w:lineRule="auto"/>
      </w:pPr>
      <w:rPr>
        <w:b/>
        <w:bCs/>
      </w:rPr>
      <w:tblPr/>
      <w:tcPr>
        <w:tcBorders>
          <w:top w:val="single" w:sz="8" w:space="0" w:color="753749" w:themeColor="accent5"/>
          <w:left w:val="nil"/>
          <w:bottom w:val="single" w:sz="8" w:space="0" w:color="75374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C6CE" w:themeFill="accent5" w:themeFillTint="3F"/>
      </w:tcPr>
    </w:tblStylePr>
    <w:tblStylePr w:type="band1Horz">
      <w:tblPr/>
      <w:tcPr>
        <w:tcBorders>
          <w:left w:val="nil"/>
          <w:right w:val="nil"/>
          <w:insideH w:val="nil"/>
          <w:insideV w:val="nil"/>
        </w:tcBorders>
        <w:shd w:val="clear" w:color="auto" w:fill="E4C6CE" w:themeFill="accent5" w:themeFillTint="3F"/>
      </w:tcPr>
    </w:tblStylePr>
  </w:style>
  <w:style w:type="table" w:styleId="LightShading-Accent6">
    <w:name w:val="Light Shading Accent 6"/>
    <w:basedOn w:val="TableNormal"/>
    <w:uiPriority w:val="60"/>
    <w:rsid w:val="008552F5"/>
    <w:pPr>
      <w:spacing w:after="0" w:line="240" w:lineRule="auto"/>
    </w:pPr>
    <w:rPr>
      <w:color w:val="BC850B" w:themeColor="accent6" w:themeShade="BF"/>
    </w:rPr>
    <w:tblPr>
      <w:tblStyleRowBandSize w:val="1"/>
      <w:tblStyleColBandSize w:val="1"/>
      <w:tblBorders>
        <w:top w:val="single" w:sz="8" w:space="0" w:color="F1AF1A" w:themeColor="accent6"/>
        <w:bottom w:val="single" w:sz="8" w:space="0" w:color="F1AF1A" w:themeColor="accent6"/>
      </w:tblBorders>
    </w:tblPr>
    <w:tblStylePr w:type="firstRow">
      <w:pPr>
        <w:spacing w:before="0" w:after="0" w:line="240" w:lineRule="auto"/>
      </w:pPr>
      <w:rPr>
        <w:b/>
        <w:bCs/>
      </w:rPr>
      <w:tblPr/>
      <w:tcPr>
        <w:tcBorders>
          <w:top w:val="single" w:sz="8" w:space="0" w:color="F1AF1A" w:themeColor="accent6"/>
          <w:left w:val="nil"/>
          <w:bottom w:val="single" w:sz="8" w:space="0" w:color="F1AF1A" w:themeColor="accent6"/>
          <w:right w:val="nil"/>
          <w:insideH w:val="nil"/>
          <w:insideV w:val="nil"/>
        </w:tcBorders>
      </w:tcPr>
    </w:tblStylePr>
    <w:tblStylePr w:type="lastRow">
      <w:pPr>
        <w:spacing w:before="0" w:after="0" w:line="240" w:lineRule="auto"/>
      </w:pPr>
      <w:rPr>
        <w:b/>
        <w:bCs/>
      </w:rPr>
      <w:tblPr/>
      <w:tcPr>
        <w:tcBorders>
          <w:top w:val="single" w:sz="8" w:space="0" w:color="F1AF1A" w:themeColor="accent6"/>
          <w:left w:val="nil"/>
          <w:bottom w:val="single" w:sz="8" w:space="0" w:color="F1AF1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BC6" w:themeFill="accent6" w:themeFillTint="3F"/>
      </w:tcPr>
    </w:tblStylePr>
    <w:tblStylePr w:type="band1Horz">
      <w:tblPr/>
      <w:tcPr>
        <w:tcBorders>
          <w:left w:val="nil"/>
          <w:right w:val="nil"/>
          <w:insideH w:val="nil"/>
          <w:insideV w:val="nil"/>
        </w:tcBorders>
        <w:shd w:val="clear" w:color="auto" w:fill="FBEBC6" w:themeFill="accent6" w:themeFillTint="3F"/>
      </w:tcPr>
    </w:tblStylePr>
  </w:style>
  <w:style w:type="character" w:styleId="LineNumber">
    <w:name w:val="line number"/>
    <w:basedOn w:val="DefaultParagraphFont"/>
    <w:uiPriority w:val="99"/>
    <w:semiHidden/>
    <w:unhideWhenUsed/>
    <w:rsid w:val="00B200AF"/>
  </w:style>
  <w:style w:type="paragraph" w:styleId="List">
    <w:name w:val="List"/>
    <w:basedOn w:val="Normal"/>
    <w:uiPriority w:val="99"/>
    <w:semiHidden/>
    <w:unhideWhenUsed/>
    <w:rsid w:val="00B200AF"/>
    <w:pPr>
      <w:ind w:left="283" w:hanging="283"/>
      <w:contextualSpacing/>
    </w:pPr>
  </w:style>
  <w:style w:type="paragraph" w:styleId="List2">
    <w:name w:val="List 2"/>
    <w:basedOn w:val="Normal"/>
    <w:uiPriority w:val="99"/>
    <w:semiHidden/>
    <w:unhideWhenUsed/>
    <w:rsid w:val="00B200AF"/>
    <w:pPr>
      <w:ind w:left="566" w:hanging="283"/>
      <w:contextualSpacing/>
    </w:pPr>
  </w:style>
  <w:style w:type="paragraph" w:styleId="List3">
    <w:name w:val="List 3"/>
    <w:basedOn w:val="Normal"/>
    <w:uiPriority w:val="99"/>
    <w:semiHidden/>
    <w:unhideWhenUsed/>
    <w:rsid w:val="00B200AF"/>
    <w:pPr>
      <w:ind w:left="849" w:hanging="283"/>
      <w:contextualSpacing/>
    </w:pPr>
  </w:style>
  <w:style w:type="paragraph" w:styleId="List4">
    <w:name w:val="List 4"/>
    <w:basedOn w:val="Normal"/>
    <w:uiPriority w:val="99"/>
    <w:semiHidden/>
    <w:unhideWhenUsed/>
    <w:rsid w:val="00B200AF"/>
    <w:pPr>
      <w:ind w:left="1132" w:hanging="283"/>
      <w:contextualSpacing/>
    </w:pPr>
  </w:style>
  <w:style w:type="paragraph" w:styleId="List5">
    <w:name w:val="List 5"/>
    <w:basedOn w:val="Normal"/>
    <w:uiPriority w:val="99"/>
    <w:semiHidden/>
    <w:unhideWhenUsed/>
    <w:rsid w:val="00B200AF"/>
    <w:pPr>
      <w:ind w:left="1415" w:hanging="283"/>
      <w:contextualSpacing/>
    </w:pPr>
  </w:style>
  <w:style w:type="paragraph" w:styleId="ListBullet">
    <w:name w:val="List Bullet"/>
    <w:basedOn w:val="Normal"/>
    <w:uiPriority w:val="99"/>
    <w:semiHidden/>
    <w:unhideWhenUsed/>
    <w:rsid w:val="00B200AF"/>
    <w:pPr>
      <w:numPr>
        <w:numId w:val="1"/>
      </w:numPr>
      <w:contextualSpacing/>
    </w:pPr>
  </w:style>
  <w:style w:type="paragraph" w:styleId="ListBullet2">
    <w:name w:val="List Bullet 2"/>
    <w:basedOn w:val="Normal"/>
    <w:uiPriority w:val="99"/>
    <w:semiHidden/>
    <w:unhideWhenUsed/>
    <w:rsid w:val="00B200AF"/>
    <w:pPr>
      <w:numPr>
        <w:numId w:val="3"/>
      </w:numPr>
      <w:contextualSpacing/>
    </w:pPr>
  </w:style>
  <w:style w:type="paragraph" w:styleId="ListBullet3">
    <w:name w:val="List Bullet 3"/>
    <w:basedOn w:val="Normal"/>
    <w:uiPriority w:val="99"/>
    <w:semiHidden/>
    <w:unhideWhenUsed/>
    <w:rsid w:val="00B200AF"/>
    <w:pPr>
      <w:numPr>
        <w:numId w:val="4"/>
      </w:numPr>
      <w:contextualSpacing/>
    </w:pPr>
  </w:style>
  <w:style w:type="paragraph" w:styleId="ListBullet4">
    <w:name w:val="List Bullet 4"/>
    <w:basedOn w:val="Normal"/>
    <w:uiPriority w:val="99"/>
    <w:semiHidden/>
    <w:unhideWhenUsed/>
    <w:rsid w:val="00B200AF"/>
    <w:pPr>
      <w:numPr>
        <w:numId w:val="5"/>
      </w:numPr>
      <w:contextualSpacing/>
    </w:pPr>
  </w:style>
  <w:style w:type="paragraph" w:styleId="ListBullet5">
    <w:name w:val="List Bullet 5"/>
    <w:basedOn w:val="Normal"/>
    <w:uiPriority w:val="99"/>
    <w:semiHidden/>
    <w:unhideWhenUsed/>
    <w:rsid w:val="00B200AF"/>
    <w:pPr>
      <w:numPr>
        <w:numId w:val="6"/>
      </w:numPr>
      <w:contextualSpacing/>
    </w:pPr>
  </w:style>
  <w:style w:type="paragraph" w:styleId="ListContinue">
    <w:name w:val="List Continue"/>
    <w:basedOn w:val="Normal"/>
    <w:uiPriority w:val="99"/>
    <w:semiHidden/>
    <w:unhideWhenUsed/>
    <w:rsid w:val="00B200AF"/>
    <w:pPr>
      <w:spacing w:after="120"/>
      <w:ind w:left="283"/>
      <w:contextualSpacing/>
    </w:pPr>
  </w:style>
  <w:style w:type="paragraph" w:styleId="ListContinue2">
    <w:name w:val="List Continue 2"/>
    <w:basedOn w:val="Normal"/>
    <w:uiPriority w:val="99"/>
    <w:semiHidden/>
    <w:unhideWhenUsed/>
    <w:rsid w:val="00B200AF"/>
    <w:pPr>
      <w:spacing w:after="120"/>
      <w:ind w:left="566"/>
      <w:contextualSpacing/>
    </w:pPr>
  </w:style>
  <w:style w:type="paragraph" w:styleId="ListContinue3">
    <w:name w:val="List Continue 3"/>
    <w:basedOn w:val="Normal"/>
    <w:uiPriority w:val="99"/>
    <w:semiHidden/>
    <w:unhideWhenUsed/>
    <w:rsid w:val="00B200AF"/>
    <w:pPr>
      <w:spacing w:after="120"/>
      <w:ind w:left="849"/>
      <w:contextualSpacing/>
    </w:pPr>
  </w:style>
  <w:style w:type="paragraph" w:styleId="ListContinue4">
    <w:name w:val="List Continue 4"/>
    <w:basedOn w:val="Normal"/>
    <w:uiPriority w:val="99"/>
    <w:semiHidden/>
    <w:unhideWhenUsed/>
    <w:rsid w:val="00B200AF"/>
    <w:pPr>
      <w:spacing w:after="120"/>
      <w:ind w:left="1132"/>
      <w:contextualSpacing/>
    </w:pPr>
  </w:style>
  <w:style w:type="paragraph" w:styleId="ListContinue5">
    <w:name w:val="List Continue 5"/>
    <w:basedOn w:val="Normal"/>
    <w:uiPriority w:val="99"/>
    <w:semiHidden/>
    <w:unhideWhenUsed/>
    <w:rsid w:val="00B200AF"/>
    <w:pPr>
      <w:spacing w:after="120"/>
      <w:ind w:left="1415"/>
      <w:contextualSpacing/>
    </w:pPr>
  </w:style>
  <w:style w:type="paragraph" w:styleId="ListNumber">
    <w:name w:val="List Number"/>
    <w:basedOn w:val="Normal"/>
    <w:uiPriority w:val="99"/>
    <w:semiHidden/>
    <w:unhideWhenUsed/>
    <w:rsid w:val="00B200AF"/>
    <w:pPr>
      <w:numPr>
        <w:numId w:val="2"/>
      </w:numPr>
      <w:contextualSpacing/>
    </w:pPr>
  </w:style>
  <w:style w:type="paragraph" w:styleId="ListNumber2">
    <w:name w:val="List Number 2"/>
    <w:basedOn w:val="Normal"/>
    <w:uiPriority w:val="99"/>
    <w:semiHidden/>
    <w:unhideWhenUsed/>
    <w:rsid w:val="00B200AF"/>
    <w:pPr>
      <w:numPr>
        <w:numId w:val="7"/>
      </w:numPr>
      <w:contextualSpacing/>
    </w:pPr>
  </w:style>
  <w:style w:type="paragraph" w:styleId="ListNumber3">
    <w:name w:val="List Number 3"/>
    <w:basedOn w:val="Normal"/>
    <w:uiPriority w:val="99"/>
    <w:semiHidden/>
    <w:unhideWhenUsed/>
    <w:rsid w:val="00B200AF"/>
    <w:pPr>
      <w:numPr>
        <w:numId w:val="8"/>
      </w:numPr>
      <w:contextualSpacing/>
    </w:pPr>
  </w:style>
  <w:style w:type="paragraph" w:styleId="ListNumber4">
    <w:name w:val="List Number 4"/>
    <w:basedOn w:val="Normal"/>
    <w:uiPriority w:val="99"/>
    <w:semiHidden/>
    <w:unhideWhenUsed/>
    <w:rsid w:val="00B200AF"/>
    <w:pPr>
      <w:numPr>
        <w:numId w:val="9"/>
      </w:numPr>
      <w:contextualSpacing/>
    </w:pPr>
  </w:style>
  <w:style w:type="paragraph" w:styleId="ListNumber5">
    <w:name w:val="List Number 5"/>
    <w:basedOn w:val="Normal"/>
    <w:uiPriority w:val="99"/>
    <w:semiHidden/>
    <w:unhideWhenUsed/>
    <w:rsid w:val="00B200AF"/>
    <w:pPr>
      <w:numPr>
        <w:numId w:val="10"/>
      </w:numPr>
      <w:contextualSpacing/>
    </w:pPr>
  </w:style>
  <w:style w:type="paragraph" w:styleId="MacroText">
    <w:name w:val="macro"/>
    <w:link w:val="MacroTextChar"/>
    <w:uiPriority w:val="99"/>
    <w:semiHidden/>
    <w:unhideWhenUsed/>
    <w:rsid w:val="00B200AF"/>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cs="Consolas"/>
      <w:lang w:val="en-AU"/>
    </w:rPr>
  </w:style>
  <w:style w:type="character" w:customStyle="1" w:styleId="MacroTextChar">
    <w:name w:val="Macro Text Char"/>
    <w:basedOn w:val="DefaultParagraphFont"/>
    <w:link w:val="MacroText"/>
    <w:uiPriority w:val="99"/>
    <w:semiHidden/>
    <w:rsid w:val="00B200AF"/>
    <w:rPr>
      <w:rFonts w:ascii="Consolas" w:hAnsi="Consolas" w:cs="Consolas"/>
      <w:sz w:val="20"/>
      <w:szCs w:val="20"/>
      <w:lang w:val="en-AU"/>
    </w:rPr>
  </w:style>
  <w:style w:type="table" w:styleId="MediumGrid1">
    <w:name w:val="Medium Grid 1"/>
    <w:basedOn w:val="TableNormal"/>
    <w:uiPriority w:val="67"/>
    <w:rsid w:val="008552F5"/>
    <w:pPr>
      <w:spacing w:after="0" w:line="240" w:lineRule="auto"/>
    </w:pPr>
    <w:tblPr>
      <w:tblStyleRowBandSize w:val="1"/>
      <w:tblStyleColBandSize w:val="1"/>
      <w:tblBorders>
        <w:top w:val="single" w:sz="8" w:space="0" w:color="B4B1AF" w:themeColor="text1" w:themeTint="BF"/>
        <w:left w:val="single" w:sz="8" w:space="0" w:color="B4B1AF" w:themeColor="text1" w:themeTint="BF"/>
        <w:bottom w:val="single" w:sz="8" w:space="0" w:color="B4B1AF" w:themeColor="text1" w:themeTint="BF"/>
        <w:right w:val="single" w:sz="8" w:space="0" w:color="B4B1AF" w:themeColor="text1" w:themeTint="BF"/>
        <w:insideH w:val="single" w:sz="8" w:space="0" w:color="B4B1AF" w:themeColor="text1" w:themeTint="BF"/>
        <w:insideV w:val="single" w:sz="8" w:space="0" w:color="B4B1AF" w:themeColor="text1" w:themeTint="BF"/>
      </w:tblBorders>
    </w:tblPr>
    <w:tcPr>
      <w:shd w:val="clear" w:color="auto" w:fill="E6E5E4" w:themeFill="text1" w:themeFillTint="3F"/>
    </w:tcPr>
    <w:tblStylePr w:type="firstRow">
      <w:rPr>
        <w:b/>
        <w:bCs/>
      </w:rPr>
    </w:tblStylePr>
    <w:tblStylePr w:type="lastRow">
      <w:rPr>
        <w:b/>
        <w:bCs/>
      </w:rPr>
      <w:tblPr/>
      <w:tcPr>
        <w:tcBorders>
          <w:top w:val="single" w:sz="18" w:space="0" w:color="B4B1AF" w:themeColor="text1" w:themeTint="BF"/>
        </w:tcBorders>
      </w:tcPr>
    </w:tblStylePr>
    <w:tblStylePr w:type="firstCol">
      <w:rPr>
        <w:b/>
        <w:bCs/>
      </w:rPr>
    </w:tblStylePr>
    <w:tblStylePr w:type="lastCol">
      <w:rPr>
        <w:b/>
        <w:bCs/>
      </w:rPr>
    </w:tblStylePr>
    <w:tblStylePr w:type="band1Vert">
      <w:tblPr/>
      <w:tcPr>
        <w:shd w:val="clear" w:color="auto" w:fill="CDCBCA" w:themeFill="text1" w:themeFillTint="7F"/>
      </w:tcPr>
    </w:tblStylePr>
    <w:tblStylePr w:type="band1Horz">
      <w:tblPr/>
      <w:tcPr>
        <w:shd w:val="clear" w:color="auto" w:fill="CDCBCA" w:themeFill="text1" w:themeFillTint="7F"/>
      </w:tcPr>
    </w:tblStylePr>
  </w:style>
  <w:style w:type="table" w:styleId="MediumGrid1-Accent1">
    <w:name w:val="Medium Grid 1 Accent 1"/>
    <w:basedOn w:val="TableNormal"/>
    <w:uiPriority w:val="67"/>
    <w:rsid w:val="008552F5"/>
    <w:pPr>
      <w:spacing w:after="0" w:line="240" w:lineRule="auto"/>
    </w:pPr>
    <w:tblPr>
      <w:tblStyleRowBandSize w:val="1"/>
      <w:tblStyleColBandSize w:val="1"/>
      <w:tblBorders>
        <w:top w:val="single" w:sz="8" w:space="0" w:color="B4B1AF" w:themeColor="accent1" w:themeTint="BF"/>
        <w:left w:val="single" w:sz="8" w:space="0" w:color="B4B1AF" w:themeColor="accent1" w:themeTint="BF"/>
        <w:bottom w:val="single" w:sz="8" w:space="0" w:color="B4B1AF" w:themeColor="accent1" w:themeTint="BF"/>
        <w:right w:val="single" w:sz="8" w:space="0" w:color="B4B1AF" w:themeColor="accent1" w:themeTint="BF"/>
        <w:insideH w:val="single" w:sz="8" w:space="0" w:color="B4B1AF" w:themeColor="accent1" w:themeTint="BF"/>
        <w:insideV w:val="single" w:sz="8" w:space="0" w:color="B4B1AF" w:themeColor="accent1" w:themeTint="BF"/>
      </w:tblBorders>
    </w:tblPr>
    <w:tcPr>
      <w:shd w:val="clear" w:color="auto" w:fill="E6E5E4" w:themeFill="accent1" w:themeFillTint="3F"/>
    </w:tcPr>
    <w:tblStylePr w:type="firstRow">
      <w:rPr>
        <w:b/>
        <w:bCs/>
      </w:rPr>
    </w:tblStylePr>
    <w:tblStylePr w:type="lastRow">
      <w:rPr>
        <w:b/>
        <w:bCs/>
      </w:rPr>
      <w:tblPr/>
      <w:tcPr>
        <w:tcBorders>
          <w:top w:val="single" w:sz="18" w:space="0" w:color="B4B1AF" w:themeColor="accent1" w:themeTint="BF"/>
        </w:tcBorders>
      </w:tcPr>
    </w:tblStylePr>
    <w:tblStylePr w:type="firstCol">
      <w:rPr>
        <w:b/>
        <w:bCs/>
      </w:rPr>
    </w:tblStylePr>
    <w:tblStylePr w:type="lastCol">
      <w:rPr>
        <w:b/>
        <w:bCs/>
      </w:rPr>
    </w:tblStylePr>
    <w:tblStylePr w:type="band1Vert">
      <w:tblPr/>
      <w:tcPr>
        <w:shd w:val="clear" w:color="auto" w:fill="CDCBCA" w:themeFill="accent1" w:themeFillTint="7F"/>
      </w:tcPr>
    </w:tblStylePr>
    <w:tblStylePr w:type="band1Horz">
      <w:tblPr/>
      <w:tcPr>
        <w:shd w:val="clear" w:color="auto" w:fill="CDCBCA" w:themeFill="accent1" w:themeFillTint="7F"/>
      </w:tcPr>
    </w:tblStylePr>
  </w:style>
  <w:style w:type="table" w:styleId="MediumGrid1-Accent2">
    <w:name w:val="Medium Grid 1 Accent 2"/>
    <w:basedOn w:val="TableNormal"/>
    <w:uiPriority w:val="67"/>
    <w:rsid w:val="008552F5"/>
    <w:pPr>
      <w:spacing w:after="0" w:line="240" w:lineRule="auto"/>
    </w:pPr>
    <w:tblPr>
      <w:tblStyleRowBandSize w:val="1"/>
      <w:tblStyleColBandSize w:val="1"/>
      <w:tblBorders>
        <w:top w:val="single" w:sz="8" w:space="0" w:color="DE9759" w:themeColor="accent2" w:themeTint="BF"/>
        <w:left w:val="single" w:sz="8" w:space="0" w:color="DE9759" w:themeColor="accent2" w:themeTint="BF"/>
        <w:bottom w:val="single" w:sz="8" w:space="0" w:color="DE9759" w:themeColor="accent2" w:themeTint="BF"/>
        <w:right w:val="single" w:sz="8" w:space="0" w:color="DE9759" w:themeColor="accent2" w:themeTint="BF"/>
        <w:insideH w:val="single" w:sz="8" w:space="0" w:color="DE9759" w:themeColor="accent2" w:themeTint="BF"/>
        <w:insideV w:val="single" w:sz="8" w:space="0" w:color="DE9759" w:themeColor="accent2" w:themeTint="BF"/>
      </w:tblBorders>
    </w:tblPr>
    <w:tcPr>
      <w:shd w:val="clear" w:color="auto" w:fill="F4DCC8" w:themeFill="accent2" w:themeFillTint="3F"/>
    </w:tcPr>
    <w:tblStylePr w:type="firstRow">
      <w:rPr>
        <w:b/>
        <w:bCs/>
      </w:rPr>
    </w:tblStylePr>
    <w:tblStylePr w:type="lastRow">
      <w:rPr>
        <w:b/>
        <w:bCs/>
      </w:rPr>
      <w:tblPr/>
      <w:tcPr>
        <w:tcBorders>
          <w:top w:val="single" w:sz="18" w:space="0" w:color="DE9759" w:themeColor="accent2" w:themeTint="BF"/>
        </w:tcBorders>
      </w:tcPr>
    </w:tblStylePr>
    <w:tblStylePr w:type="firstCol">
      <w:rPr>
        <w:b/>
        <w:bCs/>
      </w:rPr>
    </w:tblStylePr>
    <w:tblStylePr w:type="lastCol">
      <w:rPr>
        <w:b/>
        <w:bCs/>
      </w:rPr>
    </w:tblStylePr>
    <w:tblStylePr w:type="band1Vert">
      <w:tblPr/>
      <w:tcPr>
        <w:shd w:val="clear" w:color="auto" w:fill="E9BA90" w:themeFill="accent2" w:themeFillTint="7F"/>
      </w:tcPr>
    </w:tblStylePr>
    <w:tblStylePr w:type="band1Horz">
      <w:tblPr/>
      <w:tcPr>
        <w:shd w:val="clear" w:color="auto" w:fill="E9BA90" w:themeFill="accent2" w:themeFillTint="7F"/>
      </w:tcPr>
    </w:tblStylePr>
  </w:style>
  <w:style w:type="table" w:styleId="MediumGrid1-Accent3">
    <w:name w:val="Medium Grid 1 Accent 3"/>
    <w:basedOn w:val="TableNormal"/>
    <w:uiPriority w:val="67"/>
    <w:rsid w:val="008552F5"/>
    <w:pPr>
      <w:spacing w:after="0" w:line="240" w:lineRule="auto"/>
    </w:pPr>
    <w:tblPr>
      <w:tblStyleRowBandSize w:val="1"/>
      <w:tblStyleColBandSize w:val="1"/>
      <w:tblBorders>
        <w:top w:val="single" w:sz="8" w:space="0" w:color="6DAE52" w:themeColor="accent3" w:themeTint="BF"/>
        <w:left w:val="single" w:sz="8" w:space="0" w:color="6DAE52" w:themeColor="accent3" w:themeTint="BF"/>
        <w:bottom w:val="single" w:sz="8" w:space="0" w:color="6DAE52" w:themeColor="accent3" w:themeTint="BF"/>
        <w:right w:val="single" w:sz="8" w:space="0" w:color="6DAE52" w:themeColor="accent3" w:themeTint="BF"/>
        <w:insideH w:val="single" w:sz="8" w:space="0" w:color="6DAE52" w:themeColor="accent3" w:themeTint="BF"/>
        <w:insideV w:val="single" w:sz="8" w:space="0" w:color="6DAE52" w:themeColor="accent3" w:themeTint="BF"/>
      </w:tblBorders>
    </w:tblPr>
    <w:tcPr>
      <w:shd w:val="clear" w:color="auto" w:fill="CEE4C6" w:themeFill="accent3" w:themeFillTint="3F"/>
    </w:tcPr>
    <w:tblStylePr w:type="firstRow">
      <w:rPr>
        <w:b/>
        <w:bCs/>
      </w:rPr>
    </w:tblStylePr>
    <w:tblStylePr w:type="lastRow">
      <w:rPr>
        <w:b/>
        <w:bCs/>
      </w:rPr>
      <w:tblPr/>
      <w:tcPr>
        <w:tcBorders>
          <w:top w:val="single" w:sz="18" w:space="0" w:color="6DAE52" w:themeColor="accent3" w:themeTint="BF"/>
        </w:tcBorders>
      </w:tcPr>
    </w:tblStylePr>
    <w:tblStylePr w:type="firstCol">
      <w:rPr>
        <w:b/>
        <w:bCs/>
      </w:rPr>
    </w:tblStylePr>
    <w:tblStylePr w:type="lastCol">
      <w:rPr>
        <w:b/>
        <w:bCs/>
      </w:rPr>
    </w:tblStylePr>
    <w:tblStylePr w:type="band1Vert">
      <w:tblPr/>
      <w:tcPr>
        <w:shd w:val="clear" w:color="auto" w:fill="9DC98C" w:themeFill="accent3" w:themeFillTint="7F"/>
      </w:tcPr>
    </w:tblStylePr>
    <w:tblStylePr w:type="band1Horz">
      <w:tblPr/>
      <w:tcPr>
        <w:shd w:val="clear" w:color="auto" w:fill="9DC98C" w:themeFill="accent3" w:themeFillTint="7F"/>
      </w:tcPr>
    </w:tblStylePr>
  </w:style>
  <w:style w:type="table" w:styleId="MediumGrid1-Accent4">
    <w:name w:val="Medium Grid 1 Accent 4"/>
    <w:basedOn w:val="TableNormal"/>
    <w:uiPriority w:val="67"/>
    <w:rsid w:val="008552F5"/>
    <w:pPr>
      <w:spacing w:after="0" w:line="240" w:lineRule="auto"/>
    </w:pPr>
    <w:tblPr>
      <w:tblStyleRowBandSize w:val="1"/>
      <w:tblStyleColBandSize w:val="1"/>
      <w:tblBorders>
        <w:top w:val="single" w:sz="8" w:space="0" w:color="C7BE59" w:themeColor="accent4" w:themeTint="BF"/>
        <w:left w:val="single" w:sz="8" w:space="0" w:color="C7BE59" w:themeColor="accent4" w:themeTint="BF"/>
        <w:bottom w:val="single" w:sz="8" w:space="0" w:color="C7BE59" w:themeColor="accent4" w:themeTint="BF"/>
        <w:right w:val="single" w:sz="8" w:space="0" w:color="C7BE59" w:themeColor="accent4" w:themeTint="BF"/>
        <w:insideH w:val="single" w:sz="8" w:space="0" w:color="C7BE59" w:themeColor="accent4" w:themeTint="BF"/>
        <w:insideV w:val="single" w:sz="8" w:space="0" w:color="C7BE59" w:themeColor="accent4" w:themeTint="BF"/>
      </w:tblBorders>
    </w:tblPr>
    <w:tcPr>
      <w:shd w:val="clear" w:color="auto" w:fill="ECE9C8" w:themeFill="accent4" w:themeFillTint="3F"/>
    </w:tcPr>
    <w:tblStylePr w:type="firstRow">
      <w:rPr>
        <w:b/>
        <w:bCs/>
      </w:rPr>
    </w:tblStylePr>
    <w:tblStylePr w:type="lastRow">
      <w:rPr>
        <w:b/>
        <w:bCs/>
      </w:rPr>
      <w:tblPr/>
      <w:tcPr>
        <w:tcBorders>
          <w:top w:val="single" w:sz="18" w:space="0" w:color="C7BE59" w:themeColor="accent4" w:themeTint="BF"/>
        </w:tcBorders>
      </w:tcPr>
    </w:tblStylePr>
    <w:tblStylePr w:type="firstCol">
      <w:rPr>
        <w:b/>
        <w:bCs/>
      </w:rPr>
    </w:tblStylePr>
    <w:tblStylePr w:type="lastCol">
      <w:rPr>
        <w:b/>
        <w:bCs/>
      </w:rPr>
    </w:tblStylePr>
    <w:tblStylePr w:type="band1Vert">
      <w:tblPr/>
      <w:tcPr>
        <w:shd w:val="clear" w:color="auto" w:fill="DAD390" w:themeFill="accent4" w:themeFillTint="7F"/>
      </w:tcPr>
    </w:tblStylePr>
    <w:tblStylePr w:type="band1Horz">
      <w:tblPr/>
      <w:tcPr>
        <w:shd w:val="clear" w:color="auto" w:fill="DAD390" w:themeFill="accent4" w:themeFillTint="7F"/>
      </w:tcPr>
    </w:tblStylePr>
  </w:style>
  <w:style w:type="table" w:styleId="MediumGrid1-Accent5">
    <w:name w:val="Medium Grid 1 Accent 5"/>
    <w:basedOn w:val="TableNormal"/>
    <w:uiPriority w:val="67"/>
    <w:rsid w:val="008552F5"/>
    <w:pPr>
      <w:spacing w:after="0" w:line="240" w:lineRule="auto"/>
    </w:pPr>
    <w:tblPr>
      <w:tblStyleRowBandSize w:val="1"/>
      <w:tblStyleColBandSize w:val="1"/>
      <w:tblBorders>
        <w:top w:val="single" w:sz="8" w:space="0" w:color="AE526D" w:themeColor="accent5" w:themeTint="BF"/>
        <w:left w:val="single" w:sz="8" w:space="0" w:color="AE526D" w:themeColor="accent5" w:themeTint="BF"/>
        <w:bottom w:val="single" w:sz="8" w:space="0" w:color="AE526D" w:themeColor="accent5" w:themeTint="BF"/>
        <w:right w:val="single" w:sz="8" w:space="0" w:color="AE526D" w:themeColor="accent5" w:themeTint="BF"/>
        <w:insideH w:val="single" w:sz="8" w:space="0" w:color="AE526D" w:themeColor="accent5" w:themeTint="BF"/>
        <w:insideV w:val="single" w:sz="8" w:space="0" w:color="AE526D" w:themeColor="accent5" w:themeTint="BF"/>
      </w:tblBorders>
    </w:tblPr>
    <w:tcPr>
      <w:shd w:val="clear" w:color="auto" w:fill="E4C6CE" w:themeFill="accent5" w:themeFillTint="3F"/>
    </w:tcPr>
    <w:tblStylePr w:type="firstRow">
      <w:rPr>
        <w:b/>
        <w:bCs/>
      </w:rPr>
    </w:tblStylePr>
    <w:tblStylePr w:type="lastRow">
      <w:rPr>
        <w:b/>
        <w:bCs/>
      </w:rPr>
      <w:tblPr/>
      <w:tcPr>
        <w:tcBorders>
          <w:top w:val="single" w:sz="18" w:space="0" w:color="AE526D" w:themeColor="accent5" w:themeTint="BF"/>
        </w:tcBorders>
      </w:tcPr>
    </w:tblStylePr>
    <w:tblStylePr w:type="firstCol">
      <w:rPr>
        <w:b/>
        <w:bCs/>
      </w:rPr>
    </w:tblStylePr>
    <w:tblStylePr w:type="lastCol">
      <w:rPr>
        <w:b/>
        <w:bCs/>
      </w:rPr>
    </w:tblStylePr>
    <w:tblStylePr w:type="band1Vert">
      <w:tblPr/>
      <w:tcPr>
        <w:shd w:val="clear" w:color="auto" w:fill="C98C9D" w:themeFill="accent5" w:themeFillTint="7F"/>
      </w:tcPr>
    </w:tblStylePr>
    <w:tblStylePr w:type="band1Horz">
      <w:tblPr/>
      <w:tcPr>
        <w:shd w:val="clear" w:color="auto" w:fill="C98C9D" w:themeFill="accent5" w:themeFillTint="7F"/>
      </w:tcPr>
    </w:tblStylePr>
  </w:style>
  <w:style w:type="table" w:styleId="MediumGrid1-Accent6">
    <w:name w:val="Medium Grid 1 Accent 6"/>
    <w:basedOn w:val="TableNormal"/>
    <w:uiPriority w:val="67"/>
    <w:rsid w:val="008552F5"/>
    <w:pPr>
      <w:spacing w:after="0" w:line="240" w:lineRule="auto"/>
    </w:pPr>
    <w:tblPr>
      <w:tblStyleRowBandSize w:val="1"/>
      <w:tblStyleColBandSize w:val="1"/>
      <w:tblBorders>
        <w:top w:val="single" w:sz="8" w:space="0" w:color="F4C253" w:themeColor="accent6" w:themeTint="BF"/>
        <w:left w:val="single" w:sz="8" w:space="0" w:color="F4C253" w:themeColor="accent6" w:themeTint="BF"/>
        <w:bottom w:val="single" w:sz="8" w:space="0" w:color="F4C253" w:themeColor="accent6" w:themeTint="BF"/>
        <w:right w:val="single" w:sz="8" w:space="0" w:color="F4C253" w:themeColor="accent6" w:themeTint="BF"/>
        <w:insideH w:val="single" w:sz="8" w:space="0" w:color="F4C253" w:themeColor="accent6" w:themeTint="BF"/>
        <w:insideV w:val="single" w:sz="8" w:space="0" w:color="F4C253" w:themeColor="accent6" w:themeTint="BF"/>
      </w:tblBorders>
    </w:tblPr>
    <w:tcPr>
      <w:shd w:val="clear" w:color="auto" w:fill="FBEBC6" w:themeFill="accent6" w:themeFillTint="3F"/>
    </w:tcPr>
    <w:tblStylePr w:type="firstRow">
      <w:rPr>
        <w:b/>
        <w:bCs/>
      </w:rPr>
    </w:tblStylePr>
    <w:tblStylePr w:type="lastRow">
      <w:rPr>
        <w:b/>
        <w:bCs/>
      </w:rPr>
      <w:tblPr/>
      <w:tcPr>
        <w:tcBorders>
          <w:top w:val="single" w:sz="18" w:space="0" w:color="F4C253" w:themeColor="accent6" w:themeTint="BF"/>
        </w:tcBorders>
      </w:tcPr>
    </w:tblStylePr>
    <w:tblStylePr w:type="firstCol">
      <w:rPr>
        <w:b/>
        <w:bCs/>
      </w:rPr>
    </w:tblStylePr>
    <w:tblStylePr w:type="lastCol">
      <w:rPr>
        <w:b/>
        <w:bCs/>
      </w:rPr>
    </w:tblStylePr>
    <w:tblStylePr w:type="band1Vert">
      <w:tblPr/>
      <w:tcPr>
        <w:shd w:val="clear" w:color="auto" w:fill="F8D68C" w:themeFill="accent6" w:themeFillTint="7F"/>
      </w:tcPr>
    </w:tblStylePr>
    <w:tblStylePr w:type="band1Horz">
      <w:tblPr/>
      <w:tcPr>
        <w:shd w:val="clear" w:color="auto" w:fill="F8D68C" w:themeFill="accent6" w:themeFillTint="7F"/>
      </w:tcPr>
    </w:tblStylePr>
  </w:style>
  <w:style w:type="table" w:styleId="MediumGrid2">
    <w:name w:val="Medium Grid 2"/>
    <w:basedOn w:val="TableNormal"/>
    <w:uiPriority w:val="68"/>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9B9795" w:themeColor="text1"/>
        <w:left w:val="single" w:sz="8" w:space="0" w:color="9B9795" w:themeColor="text1"/>
        <w:bottom w:val="single" w:sz="8" w:space="0" w:color="9B9795" w:themeColor="text1"/>
        <w:right w:val="single" w:sz="8" w:space="0" w:color="9B9795" w:themeColor="text1"/>
        <w:insideH w:val="single" w:sz="8" w:space="0" w:color="9B9795" w:themeColor="text1"/>
        <w:insideV w:val="single" w:sz="8" w:space="0" w:color="9B9795" w:themeColor="text1"/>
      </w:tblBorders>
    </w:tblPr>
    <w:tcPr>
      <w:shd w:val="clear" w:color="auto" w:fill="E6E5E4" w:themeFill="text1" w:themeFillTint="3F"/>
    </w:tcPr>
    <w:tblStylePr w:type="firstRow">
      <w:rPr>
        <w:b/>
        <w:bCs/>
        <w:color w:val="9B9795" w:themeColor="text1"/>
      </w:rPr>
      <w:tblPr/>
      <w:tcPr>
        <w:shd w:val="clear" w:color="auto" w:fill="F5F4F4" w:themeFill="text1" w:themeFillTint="19"/>
      </w:tcPr>
    </w:tblStylePr>
    <w:tblStylePr w:type="lastRow">
      <w:rPr>
        <w:b/>
        <w:bCs/>
        <w:color w:val="9B9795" w:themeColor="text1"/>
      </w:rPr>
      <w:tblPr/>
      <w:tcPr>
        <w:tcBorders>
          <w:top w:val="single" w:sz="12" w:space="0" w:color="9B9795" w:themeColor="text1"/>
          <w:left w:val="nil"/>
          <w:bottom w:val="nil"/>
          <w:right w:val="nil"/>
          <w:insideH w:val="nil"/>
          <w:insideV w:val="nil"/>
        </w:tcBorders>
        <w:shd w:val="clear" w:color="auto" w:fill="FFFFFF" w:themeFill="background1"/>
      </w:tcPr>
    </w:tblStylePr>
    <w:tblStylePr w:type="firstCol">
      <w:rPr>
        <w:b/>
        <w:bCs/>
        <w:color w:val="9B979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9B9795" w:themeColor="text1"/>
      </w:rPr>
      <w:tblPr/>
      <w:tcPr>
        <w:tcBorders>
          <w:top w:val="nil"/>
          <w:left w:val="nil"/>
          <w:bottom w:val="nil"/>
          <w:right w:val="nil"/>
          <w:insideH w:val="nil"/>
          <w:insideV w:val="nil"/>
        </w:tcBorders>
        <w:shd w:val="clear" w:color="auto" w:fill="EBEAE9" w:themeFill="text1" w:themeFillTint="33"/>
      </w:tcPr>
    </w:tblStylePr>
    <w:tblStylePr w:type="band1Vert">
      <w:tblPr/>
      <w:tcPr>
        <w:shd w:val="clear" w:color="auto" w:fill="CDCBCA" w:themeFill="text1" w:themeFillTint="7F"/>
      </w:tcPr>
    </w:tblStylePr>
    <w:tblStylePr w:type="band1Horz">
      <w:tblPr/>
      <w:tcPr>
        <w:tcBorders>
          <w:insideH w:val="single" w:sz="6" w:space="0" w:color="9B9795" w:themeColor="text1"/>
          <w:insideV w:val="single" w:sz="6" w:space="0" w:color="9B9795" w:themeColor="text1"/>
        </w:tcBorders>
        <w:shd w:val="clear" w:color="auto" w:fill="CDCBCA"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9B9795" w:themeColor="accent1"/>
        <w:left w:val="single" w:sz="8" w:space="0" w:color="9B9795" w:themeColor="accent1"/>
        <w:bottom w:val="single" w:sz="8" w:space="0" w:color="9B9795" w:themeColor="accent1"/>
        <w:right w:val="single" w:sz="8" w:space="0" w:color="9B9795" w:themeColor="accent1"/>
        <w:insideH w:val="single" w:sz="8" w:space="0" w:color="9B9795" w:themeColor="accent1"/>
        <w:insideV w:val="single" w:sz="8" w:space="0" w:color="9B9795" w:themeColor="accent1"/>
      </w:tblBorders>
    </w:tblPr>
    <w:tcPr>
      <w:shd w:val="clear" w:color="auto" w:fill="E6E5E4" w:themeFill="accent1" w:themeFillTint="3F"/>
    </w:tcPr>
    <w:tblStylePr w:type="firstRow">
      <w:rPr>
        <w:b/>
        <w:bCs/>
        <w:color w:val="9B9795" w:themeColor="text1"/>
      </w:rPr>
      <w:tblPr/>
      <w:tcPr>
        <w:shd w:val="clear" w:color="auto" w:fill="F5F4F4" w:themeFill="accent1" w:themeFillTint="19"/>
      </w:tcPr>
    </w:tblStylePr>
    <w:tblStylePr w:type="lastRow">
      <w:rPr>
        <w:b/>
        <w:bCs/>
        <w:color w:val="9B9795" w:themeColor="text1"/>
      </w:rPr>
      <w:tblPr/>
      <w:tcPr>
        <w:tcBorders>
          <w:top w:val="single" w:sz="12" w:space="0" w:color="9B9795" w:themeColor="text1"/>
          <w:left w:val="nil"/>
          <w:bottom w:val="nil"/>
          <w:right w:val="nil"/>
          <w:insideH w:val="nil"/>
          <w:insideV w:val="nil"/>
        </w:tcBorders>
        <w:shd w:val="clear" w:color="auto" w:fill="FFFFFF" w:themeFill="background1"/>
      </w:tcPr>
    </w:tblStylePr>
    <w:tblStylePr w:type="firstCol">
      <w:rPr>
        <w:b/>
        <w:bCs/>
        <w:color w:val="9B979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9B9795" w:themeColor="text1"/>
      </w:rPr>
      <w:tblPr/>
      <w:tcPr>
        <w:tcBorders>
          <w:top w:val="nil"/>
          <w:left w:val="nil"/>
          <w:bottom w:val="nil"/>
          <w:right w:val="nil"/>
          <w:insideH w:val="nil"/>
          <w:insideV w:val="nil"/>
        </w:tcBorders>
        <w:shd w:val="clear" w:color="auto" w:fill="EBEAE9" w:themeFill="accent1" w:themeFillTint="33"/>
      </w:tcPr>
    </w:tblStylePr>
    <w:tblStylePr w:type="band1Vert">
      <w:tblPr/>
      <w:tcPr>
        <w:shd w:val="clear" w:color="auto" w:fill="CDCBCA" w:themeFill="accent1" w:themeFillTint="7F"/>
      </w:tcPr>
    </w:tblStylePr>
    <w:tblStylePr w:type="band1Horz">
      <w:tblPr/>
      <w:tcPr>
        <w:tcBorders>
          <w:insideH w:val="single" w:sz="6" w:space="0" w:color="9B9795" w:themeColor="accent1"/>
          <w:insideV w:val="single" w:sz="6" w:space="0" w:color="9B9795" w:themeColor="accent1"/>
        </w:tcBorders>
        <w:shd w:val="clear" w:color="auto" w:fill="CDCBC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CE7628" w:themeColor="accent2"/>
        <w:left w:val="single" w:sz="8" w:space="0" w:color="CE7628" w:themeColor="accent2"/>
        <w:bottom w:val="single" w:sz="8" w:space="0" w:color="CE7628" w:themeColor="accent2"/>
        <w:right w:val="single" w:sz="8" w:space="0" w:color="CE7628" w:themeColor="accent2"/>
        <w:insideH w:val="single" w:sz="8" w:space="0" w:color="CE7628" w:themeColor="accent2"/>
        <w:insideV w:val="single" w:sz="8" w:space="0" w:color="CE7628" w:themeColor="accent2"/>
      </w:tblBorders>
    </w:tblPr>
    <w:tcPr>
      <w:shd w:val="clear" w:color="auto" w:fill="F4DCC8" w:themeFill="accent2" w:themeFillTint="3F"/>
    </w:tcPr>
    <w:tblStylePr w:type="firstRow">
      <w:rPr>
        <w:b/>
        <w:bCs/>
        <w:color w:val="9B9795" w:themeColor="text1"/>
      </w:rPr>
      <w:tblPr/>
      <w:tcPr>
        <w:shd w:val="clear" w:color="auto" w:fill="FAF1E9" w:themeFill="accent2" w:themeFillTint="19"/>
      </w:tcPr>
    </w:tblStylePr>
    <w:tblStylePr w:type="lastRow">
      <w:rPr>
        <w:b/>
        <w:bCs/>
        <w:color w:val="9B9795" w:themeColor="text1"/>
      </w:rPr>
      <w:tblPr/>
      <w:tcPr>
        <w:tcBorders>
          <w:top w:val="single" w:sz="12" w:space="0" w:color="9B9795" w:themeColor="text1"/>
          <w:left w:val="nil"/>
          <w:bottom w:val="nil"/>
          <w:right w:val="nil"/>
          <w:insideH w:val="nil"/>
          <w:insideV w:val="nil"/>
        </w:tcBorders>
        <w:shd w:val="clear" w:color="auto" w:fill="FFFFFF" w:themeFill="background1"/>
      </w:tcPr>
    </w:tblStylePr>
    <w:tblStylePr w:type="firstCol">
      <w:rPr>
        <w:b/>
        <w:bCs/>
        <w:color w:val="9B979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9B9795" w:themeColor="text1"/>
      </w:rPr>
      <w:tblPr/>
      <w:tcPr>
        <w:tcBorders>
          <w:top w:val="nil"/>
          <w:left w:val="nil"/>
          <w:bottom w:val="nil"/>
          <w:right w:val="nil"/>
          <w:insideH w:val="nil"/>
          <w:insideV w:val="nil"/>
        </w:tcBorders>
        <w:shd w:val="clear" w:color="auto" w:fill="F6E3D2" w:themeFill="accent2" w:themeFillTint="33"/>
      </w:tcPr>
    </w:tblStylePr>
    <w:tblStylePr w:type="band1Vert">
      <w:tblPr/>
      <w:tcPr>
        <w:shd w:val="clear" w:color="auto" w:fill="E9BA90" w:themeFill="accent2" w:themeFillTint="7F"/>
      </w:tcPr>
    </w:tblStylePr>
    <w:tblStylePr w:type="band1Horz">
      <w:tblPr/>
      <w:tcPr>
        <w:tcBorders>
          <w:insideH w:val="single" w:sz="6" w:space="0" w:color="CE7628" w:themeColor="accent2"/>
          <w:insideV w:val="single" w:sz="6" w:space="0" w:color="CE7628" w:themeColor="accent2"/>
        </w:tcBorders>
        <w:shd w:val="clear" w:color="auto" w:fill="E9BA9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497537" w:themeColor="accent3"/>
        <w:left w:val="single" w:sz="8" w:space="0" w:color="497537" w:themeColor="accent3"/>
        <w:bottom w:val="single" w:sz="8" w:space="0" w:color="497537" w:themeColor="accent3"/>
        <w:right w:val="single" w:sz="8" w:space="0" w:color="497537" w:themeColor="accent3"/>
        <w:insideH w:val="single" w:sz="8" w:space="0" w:color="497537" w:themeColor="accent3"/>
        <w:insideV w:val="single" w:sz="8" w:space="0" w:color="497537" w:themeColor="accent3"/>
      </w:tblBorders>
    </w:tblPr>
    <w:tcPr>
      <w:shd w:val="clear" w:color="auto" w:fill="CEE4C6" w:themeFill="accent3" w:themeFillTint="3F"/>
    </w:tcPr>
    <w:tblStylePr w:type="firstRow">
      <w:rPr>
        <w:b/>
        <w:bCs/>
        <w:color w:val="9B9795" w:themeColor="text1"/>
      </w:rPr>
      <w:tblPr/>
      <w:tcPr>
        <w:shd w:val="clear" w:color="auto" w:fill="EBF4E8" w:themeFill="accent3" w:themeFillTint="19"/>
      </w:tcPr>
    </w:tblStylePr>
    <w:tblStylePr w:type="lastRow">
      <w:rPr>
        <w:b/>
        <w:bCs/>
        <w:color w:val="9B9795" w:themeColor="text1"/>
      </w:rPr>
      <w:tblPr/>
      <w:tcPr>
        <w:tcBorders>
          <w:top w:val="single" w:sz="12" w:space="0" w:color="9B9795" w:themeColor="text1"/>
          <w:left w:val="nil"/>
          <w:bottom w:val="nil"/>
          <w:right w:val="nil"/>
          <w:insideH w:val="nil"/>
          <w:insideV w:val="nil"/>
        </w:tcBorders>
        <w:shd w:val="clear" w:color="auto" w:fill="FFFFFF" w:themeFill="background1"/>
      </w:tcPr>
    </w:tblStylePr>
    <w:tblStylePr w:type="firstCol">
      <w:rPr>
        <w:b/>
        <w:bCs/>
        <w:color w:val="9B979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9B9795" w:themeColor="text1"/>
      </w:rPr>
      <w:tblPr/>
      <w:tcPr>
        <w:tcBorders>
          <w:top w:val="nil"/>
          <w:left w:val="nil"/>
          <w:bottom w:val="nil"/>
          <w:right w:val="nil"/>
          <w:insideH w:val="nil"/>
          <w:insideV w:val="nil"/>
        </w:tcBorders>
        <w:shd w:val="clear" w:color="auto" w:fill="D7E9D0" w:themeFill="accent3" w:themeFillTint="33"/>
      </w:tcPr>
    </w:tblStylePr>
    <w:tblStylePr w:type="band1Vert">
      <w:tblPr/>
      <w:tcPr>
        <w:shd w:val="clear" w:color="auto" w:fill="9DC98C" w:themeFill="accent3" w:themeFillTint="7F"/>
      </w:tcPr>
    </w:tblStylePr>
    <w:tblStylePr w:type="band1Horz">
      <w:tblPr/>
      <w:tcPr>
        <w:tcBorders>
          <w:insideH w:val="single" w:sz="6" w:space="0" w:color="497537" w:themeColor="accent3"/>
          <w:insideV w:val="single" w:sz="6" w:space="0" w:color="497537" w:themeColor="accent3"/>
        </w:tcBorders>
        <w:shd w:val="clear" w:color="auto" w:fill="9DC98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A19836" w:themeColor="accent4"/>
        <w:left w:val="single" w:sz="8" w:space="0" w:color="A19836" w:themeColor="accent4"/>
        <w:bottom w:val="single" w:sz="8" w:space="0" w:color="A19836" w:themeColor="accent4"/>
        <w:right w:val="single" w:sz="8" w:space="0" w:color="A19836" w:themeColor="accent4"/>
        <w:insideH w:val="single" w:sz="8" w:space="0" w:color="A19836" w:themeColor="accent4"/>
        <w:insideV w:val="single" w:sz="8" w:space="0" w:color="A19836" w:themeColor="accent4"/>
      </w:tblBorders>
    </w:tblPr>
    <w:tcPr>
      <w:shd w:val="clear" w:color="auto" w:fill="ECE9C8" w:themeFill="accent4" w:themeFillTint="3F"/>
    </w:tcPr>
    <w:tblStylePr w:type="firstRow">
      <w:rPr>
        <w:b/>
        <w:bCs/>
        <w:color w:val="9B9795" w:themeColor="text1"/>
      </w:rPr>
      <w:tblPr/>
      <w:tcPr>
        <w:shd w:val="clear" w:color="auto" w:fill="F7F6E9" w:themeFill="accent4" w:themeFillTint="19"/>
      </w:tcPr>
    </w:tblStylePr>
    <w:tblStylePr w:type="lastRow">
      <w:rPr>
        <w:b/>
        <w:bCs/>
        <w:color w:val="9B9795" w:themeColor="text1"/>
      </w:rPr>
      <w:tblPr/>
      <w:tcPr>
        <w:tcBorders>
          <w:top w:val="single" w:sz="12" w:space="0" w:color="9B9795" w:themeColor="text1"/>
          <w:left w:val="nil"/>
          <w:bottom w:val="nil"/>
          <w:right w:val="nil"/>
          <w:insideH w:val="nil"/>
          <w:insideV w:val="nil"/>
        </w:tcBorders>
        <w:shd w:val="clear" w:color="auto" w:fill="FFFFFF" w:themeFill="background1"/>
      </w:tcPr>
    </w:tblStylePr>
    <w:tblStylePr w:type="firstCol">
      <w:rPr>
        <w:b/>
        <w:bCs/>
        <w:color w:val="9B979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9B9795" w:themeColor="text1"/>
      </w:rPr>
      <w:tblPr/>
      <w:tcPr>
        <w:tcBorders>
          <w:top w:val="nil"/>
          <w:left w:val="nil"/>
          <w:bottom w:val="nil"/>
          <w:right w:val="nil"/>
          <w:insideH w:val="nil"/>
          <w:insideV w:val="nil"/>
        </w:tcBorders>
        <w:shd w:val="clear" w:color="auto" w:fill="F0EDD2" w:themeFill="accent4" w:themeFillTint="33"/>
      </w:tcPr>
    </w:tblStylePr>
    <w:tblStylePr w:type="band1Vert">
      <w:tblPr/>
      <w:tcPr>
        <w:shd w:val="clear" w:color="auto" w:fill="DAD390" w:themeFill="accent4" w:themeFillTint="7F"/>
      </w:tcPr>
    </w:tblStylePr>
    <w:tblStylePr w:type="band1Horz">
      <w:tblPr/>
      <w:tcPr>
        <w:tcBorders>
          <w:insideH w:val="single" w:sz="6" w:space="0" w:color="A19836" w:themeColor="accent4"/>
          <w:insideV w:val="single" w:sz="6" w:space="0" w:color="A19836" w:themeColor="accent4"/>
        </w:tcBorders>
        <w:shd w:val="clear" w:color="auto" w:fill="DAD39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753749" w:themeColor="accent5"/>
        <w:left w:val="single" w:sz="8" w:space="0" w:color="753749" w:themeColor="accent5"/>
        <w:bottom w:val="single" w:sz="8" w:space="0" w:color="753749" w:themeColor="accent5"/>
        <w:right w:val="single" w:sz="8" w:space="0" w:color="753749" w:themeColor="accent5"/>
        <w:insideH w:val="single" w:sz="8" w:space="0" w:color="753749" w:themeColor="accent5"/>
        <w:insideV w:val="single" w:sz="8" w:space="0" w:color="753749" w:themeColor="accent5"/>
      </w:tblBorders>
    </w:tblPr>
    <w:tcPr>
      <w:shd w:val="clear" w:color="auto" w:fill="E4C6CE" w:themeFill="accent5" w:themeFillTint="3F"/>
    </w:tcPr>
    <w:tblStylePr w:type="firstRow">
      <w:rPr>
        <w:b/>
        <w:bCs/>
        <w:color w:val="9B9795" w:themeColor="text1"/>
      </w:rPr>
      <w:tblPr/>
      <w:tcPr>
        <w:shd w:val="clear" w:color="auto" w:fill="F4E8EB" w:themeFill="accent5" w:themeFillTint="19"/>
      </w:tcPr>
    </w:tblStylePr>
    <w:tblStylePr w:type="lastRow">
      <w:rPr>
        <w:b/>
        <w:bCs/>
        <w:color w:val="9B9795" w:themeColor="text1"/>
      </w:rPr>
      <w:tblPr/>
      <w:tcPr>
        <w:tcBorders>
          <w:top w:val="single" w:sz="12" w:space="0" w:color="9B9795" w:themeColor="text1"/>
          <w:left w:val="nil"/>
          <w:bottom w:val="nil"/>
          <w:right w:val="nil"/>
          <w:insideH w:val="nil"/>
          <w:insideV w:val="nil"/>
        </w:tcBorders>
        <w:shd w:val="clear" w:color="auto" w:fill="FFFFFF" w:themeFill="background1"/>
      </w:tcPr>
    </w:tblStylePr>
    <w:tblStylePr w:type="firstCol">
      <w:rPr>
        <w:b/>
        <w:bCs/>
        <w:color w:val="9B979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9B9795" w:themeColor="text1"/>
      </w:rPr>
      <w:tblPr/>
      <w:tcPr>
        <w:tcBorders>
          <w:top w:val="nil"/>
          <w:left w:val="nil"/>
          <w:bottom w:val="nil"/>
          <w:right w:val="nil"/>
          <w:insideH w:val="nil"/>
          <w:insideV w:val="nil"/>
        </w:tcBorders>
        <w:shd w:val="clear" w:color="auto" w:fill="E9D0D7" w:themeFill="accent5" w:themeFillTint="33"/>
      </w:tcPr>
    </w:tblStylePr>
    <w:tblStylePr w:type="band1Vert">
      <w:tblPr/>
      <w:tcPr>
        <w:shd w:val="clear" w:color="auto" w:fill="C98C9D" w:themeFill="accent5" w:themeFillTint="7F"/>
      </w:tcPr>
    </w:tblStylePr>
    <w:tblStylePr w:type="band1Horz">
      <w:tblPr/>
      <w:tcPr>
        <w:tcBorders>
          <w:insideH w:val="single" w:sz="6" w:space="0" w:color="753749" w:themeColor="accent5"/>
          <w:insideV w:val="single" w:sz="6" w:space="0" w:color="753749" w:themeColor="accent5"/>
        </w:tcBorders>
        <w:shd w:val="clear" w:color="auto" w:fill="C98C9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F1AF1A" w:themeColor="accent6"/>
        <w:left w:val="single" w:sz="8" w:space="0" w:color="F1AF1A" w:themeColor="accent6"/>
        <w:bottom w:val="single" w:sz="8" w:space="0" w:color="F1AF1A" w:themeColor="accent6"/>
        <w:right w:val="single" w:sz="8" w:space="0" w:color="F1AF1A" w:themeColor="accent6"/>
        <w:insideH w:val="single" w:sz="8" w:space="0" w:color="F1AF1A" w:themeColor="accent6"/>
        <w:insideV w:val="single" w:sz="8" w:space="0" w:color="F1AF1A" w:themeColor="accent6"/>
      </w:tblBorders>
    </w:tblPr>
    <w:tcPr>
      <w:shd w:val="clear" w:color="auto" w:fill="FBEBC6" w:themeFill="accent6" w:themeFillTint="3F"/>
    </w:tcPr>
    <w:tblStylePr w:type="firstRow">
      <w:rPr>
        <w:b/>
        <w:bCs/>
        <w:color w:val="9B9795" w:themeColor="text1"/>
      </w:rPr>
      <w:tblPr/>
      <w:tcPr>
        <w:shd w:val="clear" w:color="auto" w:fill="FDF7E8" w:themeFill="accent6" w:themeFillTint="19"/>
      </w:tcPr>
    </w:tblStylePr>
    <w:tblStylePr w:type="lastRow">
      <w:rPr>
        <w:b/>
        <w:bCs/>
        <w:color w:val="9B9795" w:themeColor="text1"/>
      </w:rPr>
      <w:tblPr/>
      <w:tcPr>
        <w:tcBorders>
          <w:top w:val="single" w:sz="12" w:space="0" w:color="9B9795" w:themeColor="text1"/>
          <w:left w:val="nil"/>
          <w:bottom w:val="nil"/>
          <w:right w:val="nil"/>
          <w:insideH w:val="nil"/>
          <w:insideV w:val="nil"/>
        </w:tcBorders>
        <w:shd w:val="clear" w:color="auto" w:fill="FFFFFF" w:themeFill="background1"/>
      </w:tcPr>
    </w:tblStylePr>
    <w:tblStylePr w:type="firstCol">
      <w:rPr>
        <w:b/>
        <w:bCs/>
        <w:color w:val="9B979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9B9795" w:themeColor="text1"/>
      </w:rPr>
      <w:tblPr/>
      <w:tcPr>
        <w:tcBorders>
          <w:top w:val="nil"/>
          <w:left w:val="nil"/>
          <w:bottom w:val="nil"/>
          <w:right w:val="nil"/>
          <w:insideH w:val="nil"/>
          <w:insideV w:val="nil"/>
        </w:tcBorders>
        <w:shd w:val="clear" w:color="auto" w:fill="FCEED1" w:themeFill="accent6" w:themeFillTint="33"/>
      </w:tcPr>
    </w:tblStylePr>
    <w:tblStylePr w:type="band1Vert">
      <w:tblPr/>
      <w:tcPr>
        <w:shd w:val="clear" w:color="auto" w:fill="F8D68C" w:themeFill="accent6" w:themeFillTint="7F"/>
      </w:tcPr>
    </w:tblStylePr>
    <w:tblStylePr w:type="band1Horz">
      <w:tblPr/>
      <w:tcPr>
        <w:tcBorders>
          <w:insideH w:val="single" w:sz="6" w:space="0" w:color="F1AF1A" w:themeColor="accent6"/>
          <w:insideV w:val="single" w:sz="6" w:space="0" w:color="F1AF1A" w:themeColor="accent6"/>
        </w:tcBorders>
        <w:shd w:val="clear" w:color="auto" w:fill="F8D68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8552F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5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9795"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9795"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9795"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9795"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BCA"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BCA" w:themeFill="text1" w:themeFillTint="7F"/>
      </w:tcPr>
    </w:tblStylePr>
  </w:style>
  <w:style w:type="table" w:styleId="MediumGrid3-Accent1">
    <w:name w:val="Medium Grid 3 Accent 1"/>
    <w:basedOn w:val="TableNormal"/>
    <w:uiPriority w:val="69"/>
    <w:rsid w:val="008552F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5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979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979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979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979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BC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BCA" w:themeFill="accent1" w:themeFillTint="7F"/>
      </w:tcPr>
    </w:tblStylePr>
  </w:style>
  <w:style w:type="table" w:styleId="MediumGrid3-Accent2">
    <w:name w:val="Medium Grid 3 Accent 2"/>
    <w:basedOn w:val="TableNormal"/>
    <w:uiPriority w:val="69"/>
    <w:rsid w:val="008552F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C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762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762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762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762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BA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BA90" w:themeFill="accent2" w:themeFillTint="7F"/>
      </w:tcPr>
    </w:tblStylePr>
  </w:style>
  <w:style w:type="table" w:styleId="MediumGrid3-Accent3">
    <w:name w:val="Medium Grid 3 Accent 3"/>
    <w:basedOn w:val="TableNormal"/>
    <w:uiPriority w:val="69"/>
    <w:rsid w:val="008552F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E4C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753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753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753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753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C98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C98C" w:themeFill="accent3" w:themeFillTint="7F"/>
      </w:tcPr>
    </w:tblStylePr>
  </w:style>
  <w:style w:type="table" w:styleId="MediumGrid3-Accent4">
    <w:name w:val="Medium Grid 3 Accent 4"/>
    <w:basedOn w:val="TableNormal"/>
    <w:uiPriority w:val="69"/>
    <w:rsid w:val="008552F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9C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983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983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983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983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D39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D390" w:themeFill="accent4" w:themeFillTint="7F"/>
      </w:tcPr>
    </w:tblStylePr>
  </w:style>
  <w:style w:type="table" w:styleId="MediumGrid3-Accent5">
    <w:name w:val="Medium Grid 3 Accent 5"/>
    <w:basedOn w:val="TableNormal"/>
    <w:uiPriority w:val="69"/>
    <w:rsid w:val="008552F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C6C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374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374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374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374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8C9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8C9D" w:themeFill="accent5" w:themeFillTint="7F"/>
      </w:tcPr>
    </w:tblStylePr>
  </w:style>
  <w:style w:type="table" w:styleId="MediumGrid3-Accent6">
    <w:name w:val="Medium Grid 3 Accent 6"/>
    <w:basedOn w:val="TableNormal"/>
    <w:uiPriority w:val="69"/>
    <w:rsid w:val="008552F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B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AF1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AF1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AF1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AF1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6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68C" w:themeFill="accent6" w:themeFillTint="7F"/>
      </w:tcPr>
    </w:tblStylePr>
  </w:style>
  <w:style w:type="table" w:styleId="MediumList1">
    <w:name w:val="Medium List 1"/>
    <w:basedOn w:val="TableNormal"/>
    <w:uiPriority w:val="65"/>
    <w:rsid w:val="008552F5"/>
    <w:pPr>
      <w:spacing w:after="0" w:line="240" w:lineRule="auto"/>
    </w:pPr>
    <w:rPr>
      <w:color w:val="9B9795" w:themeColor="text1"/>
    </w:rPr>
    <w:tblPr>
      <w:tblStyleRowBandSize w:val="1"/>
      <w:tblStyleColBandSize w:val="1"/>
      <w:tblBorders>
        <w:top w:val="single" w:sz="8" w:space="0" w:color="9B9795" w:themeColor="text1"/>
        <w:bottom w:val="single" w:sz="8" w:space="0" w:color="9B9795" w:themeColor="text1"/>
      </w:tblBorders>
    </w:tblPr>
    <w:tblStylePr w:type="firstRow">
      <w:rPr>
        <w:rFonts w:asciiTheme="majorHAnsi" w:eastAsiaTheme="majorEastAsia" w:hAnsiTheme="majorHAnsi" w:cstheme="majorBidi"/>
      </w:rPr>
      <w:tblPr/>
      <w:tcPr>
        <w:tcBorders>
          <w:top w:val="nil"/>
          <w:bottom w:val="single" w:sz="8" w:space="0" w:color="9B9795" w:themeColor="text1"/>
        </w:tcBorders>
      </w:tcPr>
    </w:tblStylePr>
    <w:tblStylePr w:type="lastRow">
      <w:rPr>
        <w:b/>
        <w:bCs/>
        <w:color w:val="CE7628" w:themeColor="text2"/>
      </w:rPr>
      <w:tblPr/>
      <w:tcPr>
        <w:tcBorders>
          <w:top w:val="single" w:sz="8" w:space="0" w:color="9B9795" w:themeColor="text1"/>
          <w:bottom w:val="single" w:sz="8" w:space="0" w:color="9B9795" w:themeColor="text1"/>
        </w:tcBorders>
      </w:tcPr>
    </w:tblStylePr>
    <w:tblStylePr w:type="firstCol">
      <w:rPr>
        <w:b/>
        <w:bCs/>
      </w:rPr>
    </w:tblStylePr>
    <w:tblStylePr w:type="lastCol">
      <w:rPr>
        <w:b/>
        <w:bCs/>
      </w:rPr>
      <w:tblPr/>
      <w:tcPr>
        <w:tcBorders>
          <w:top w:val="single" w:sz="8" w:space="0" w:color="9B9795" w:themeColor="text1"/>
          <w:bottom w:val="single" w:sz="8" w:space="0" w:color="9B9795" w:themeColor="text1"/>
        </w:tcBorders>
      </w:tcPr>
    </w:tblStylePr>
    <w:tblStylePr w:type="band1Vert">
      <w:tblPr/>
      <w:tcPr>
        <w:shd w:val="clear" w:color="auto" w:fill="E6E5E4" w:themeFill="text1" w:themeFillTint="3F"/>
      </w:tcPr>
    </w:tblStylePr>
    <w:tblStylePr w:type="band1Horz">
      <w:tblPr/>
      <w:tcPr>
        <w:shd w:val="clear" w:color="auto" w:fill="E6E5E4" w:themeFill="text1" w:themeFillTint="3F"/>
      </w:tcPr>
    </w:tblStylePr>
  </w:style>
  <w:style w:type="table" w:styleId="MediumList1-Accent1">
    <w:name w:val="Medium List 1 Accent 1"/>
    <w:basedOn w:val="TableNormal"/>
    <w:uiPriority w:val="65"/>
    <w:rsid w:val="008552F5"/>
    <w:pPr>
      <w:spacing w:after="0" w:line="240" w:lineRule="auto"/>
    </w:pPr>
    <w:rPr>
      <w:color w:val="9B9795" w:themeColor="text1"/>
    </w:rPr>
    <w:tblPr>
      <w:tblStyleRowBandSize w:val="1"/>
      <w:tblStyleColBandSize w:val="1"/>
      <w:tblBorders>
        <w:top w:val="single" w:sz="8" w:space="0" w:color="9B9795" w:themeColor="accent1"/>
        <w:bottom w:val="single" w:sz="8" w:space="0" w:color="9B9795" w:themeColor="accent1"/>
      </w:tblBorders>
    </w:tblPr>
    <w:tblStylePr w:type="firstRow">
      <w:rPr>
        <w:rFonts w:asciiTheme="majorHAnsi" w:eastAsiaTheme="majorEastAsia" w:hAnsiTheme="majorHAnsi" w:cstheme="majorBidi"/>
      </w:rPr>
      <w:tblPr/>
      <w:tcPr>
        <w:tcBorders>
          <w:top w:val="nil"/>
          <w:bottom w:val="single" w:sz="8" w:space="0" w:color="9B9795" w:themeColor="accent1"/>
        </w:tcBorders>
      </w:tcPr>
    </w:tblStylePr>
    <w:tblStylePr w:type="lastRow">
      <w:rPr>
        <w:b/>
        <w:bCs/>
        <w:color w:val="CE7628" w:themeColor="text2"/>
      </w:rPr>
      <w:tblPr/>
      <w:tcPr>
        <w:tcBorders>
          <w:top w:val="single" w:sz="8" w:space="0" w:color="9B9795" w:themeColor="accent1"/>
          <w:bottom w:val="single" w:sz="8" w:space="0" w:color="9B9795" w:themeColor="accent1"/>
        </w:tcBorders>
      </w:tcPr>
    </w:tblStylePr>
    <w:tblStylePr w:type="firstCol">
      <w:rPr>
        <w:b/>
        <w:bCs/>
      </w:rPr>
    </w:tblStylePr>
    <w:tblStylePr w:type="lastCol">
      <w:rPr>
        <w:b/>
        <w:bCs/>
      </w:rPr>
      <w:tblPr/>
      <w:tcPr>
        <w:tcBorders>
          <w:top w:val="single" w:sz="8" w:space="0" w:color="9B9795" w:themeColor="accent1"/>
          <w:bottom w:val="single" w:sz="8" w:space="0" w:color="9B9795" w:themeColor="accent1"/>
        </w:tcBorders>
      </w:tcPr>
    </w:tblStylePr>
    <w:tblStylePr w:type="band1Vert">
      <w:tblPr/>
      <w:tcPr>
        <w:shd w:val="clear" w:color="auto" w:fill="E6E5E4" w:themeFill="accent1" w:themeFillTint="3F"/>
      </w:tcPr>
    </w:tblStylePr>
    <w:tblStylePr w:type="band1Horz">
      <w:tblPr/>
      <w:tcPr>
        <w:shd w:val="clear" w:color="auto" w:fill="E6E5E4" w:themeFill="accent1" w:themeFillTint="3F"/>
      </w:tcPr>
    </w:tblStylePr>
  </w:style>
  <w:style w:type="table" w:styleId="MediumList1-Accent2">
    <w:name w:val="Medium List 1 Accent 2"/>
    <w:basedOn w:val="TableNormal"/>
    <w:uiPriority w:val="65"/>
    <w:rsid w:val="008552F5"/>
    <w:pPr>
      <w:spacing w:after="0" w:line="240" w:lineRule="auto"/>
    </w:pPr>
    <w:rPr>
      <w:color w:val="9B9795" w:themeColor="text1"/>
    </w:rPr>
    <w:tblPr>
      <w:tblStyleRowBandSize w:val="1"/>
      <w:tblStyleColBandSize w:val="1"/>
      <w:tblBorders>
        <w:top w:val="single" w:sz="8" w:space="0" w:color="CE7628" w:themeColor="accent2"/>
        <w:bottom w:val="single" w:sz="8" w:space="0" w:color="CE7628" w:themeColor="accent2"/>
      </w:tblBorders>
    </w:tblPr>
    <w:tblStylePr w:type="firstRow">
      <w:rPr>
        <w:rFonts w:asciiTheme="majorHAnsi" w:eastAsiaTheme="majorEastAsia" w:hAnsiTheme="majorHAnsi" w:cstheme="majorBidi"/>
      </w:rPr>
      <w:tblPr/>
      <w:tcPr>
        <w:tcBorders>
          <w:top w:val="nil"/>
          <w:bottom w:val="single" w:sz="8" w:space="0" w:color="CE7628" w:themeColor="accent2"/>
        </w:tcBorders>
      </w:tcPr>
    </w:tblStylePr>
    <w:tblStylePr w:type="lastRow">
      <w:rPr>
        <w:b/>
        <w:bCs/>
        <w:color w:val="CE7628" w:themeColor="text2"/>
      </w:rPr>
      <w:tblPr/>
      <w:tcPr>
        <w:tcBorders>
          <w:top w:val="single" w:sz="8" w:space="0" w:color="CE7628" w:themeColor="accent2"/>
          <w:bottom w:val="single" w:sz="8" w:space="0" w:color="CE7628" w:themeColor="accent2"/>
        </w:tcBorders>
      </w:tcPr>
    </w:tblStylePr>
    <w:tblStylePr w:type="firstCol">
      <w:rPr>
        <w:b/>
        <w:bCs/>
      </w:rPr>
    </w:tblStylePr>
    <w:tblStylePr w:type="lastCol">
      <w:rPr>
        <w:b/>
        <w:bCs/>
      </w:rPr>
      <w:tblPr/>
      <w:tcPr>
        <w:tcBorders>
          <w:top w:val="single" w:sz="8" w:space="0" w:color="CE7628" w:themeColor="accent2"/>
          <w:bottom w:val="single" w:sz="8" w:space="0" w:color="CE7628" w:themeColor="accent2"/>
        </w:tcBorders>
      </w:tcPr>
    </w:tblStylePr>
    <w:tblStylePr w:type="band1Vert">
      <w:tblPr/>
      <w:tcPr>
        <w:shd w:val="clear" w:color="auto" w:fill="F4DCC8" w:themeFill="accent2" w:themeFillTint="3F"/>
      </w:tcPr>
    </w:tblStylePr>
    <w:tblStylePr w:type="band1Horz">
      <w:tblPr/>
      <w:tcPr>
        <w:shd w:val="clear" w:color="auto" w:fill="F4DCC8" w:themeFill="accent2" w:themeFillTint="3F"/>
      </w:tcPr>
    </w:tblStylePr>
  </w:style>
  <w:style w:type="table" w:styleId="MediumList1-Accent3">
    <w:name w:val="Medium List 1 Accent 3"/>
    <w:basedOn w:val="TableNormal"/>
    <w:uiPriority w:val="65"/>
    <w:rsid w:val="008552F5"/>
    <w:pPr>
      <w:spacing w:after="0" w:line="240" w:lineRule="auto"/>
    </w:pPr>
    <w:rPr>
      <w:color w:val="9B9795" w:themeColor="text1"/>
    </w:rPr>
    <w:tblPr>
      <w:tblStyleRowBandSize w:val="1"/>
      <w:tblStyleColBandSize w:val="1"/>
      <w:tblBorders>
        <w:top w:val="single" w:sz="8" w:space="0" w:color="497537" w:themeColor="accent3"/>
        <w:bottom w:val="single" w:sz="8" w:space="0" w:color="497537" w:themeColor="accent3"/>
      </w:tblBorders>
    </w:tblPr>
    <w:tblStylePr w:type="firstRow">
      <w:rPr>
        <w:rFonts w:asciiTheme="majorHAnsi" w:eastAsiaTheme="majorEastAsia" w:hAnsiTheme="majorHAnsi" w:cstheme="majorBidi"/>
      </w:rPr>
      <w:tblPr/>
      <w:tcPr>
        <w:tcBorders>
          <w:top w:val="nil"/>
          <w:bottom w:val="single" w:sz="8" w:space="0" w:color="497537" w:themeColor="accent3"/>
        </w:tcBorders>
      </w:tcPr>
    </w:tblStylePr>
    <w:tblStylePr w:type="lastRow">
      <w:rPr>
        <w:b/>
        <w:bCs/>
        <w:color w:val="CE7628" w:themeColor="text2"/>
      </w:rPr>
      <w:tblPr/>
      <w:tcPr>
        <w:tcBorders>
          <w:top w:val="single" w:sz="8" w:space="0" w:color="497537" w:themeColor="accent3"/>
          <w:bottom w:val="single" w:sz="8" w:space="0" w:color="497537" w:themeColor="accent3"/>
        </w:tcBorders>
      </w:tcPr>
    </w:tblStylePr>
    <w:tblStylePr w:type="firstCol">
      <w:rPr>
        <w:b/>
        <w:bCs/>
      </w:rPr>
    </w:tblStylePr>
    <w:tblStylePr w:type="lastCol">
      <w:rPr>
        <w:b/>
        <w:bCs/>
      </w:rPr>
      <w:tblPr/>
      <w:tcPr>
        <w:tcBorders>
          <w:top w:val="single" w:sz="8" w:space="0" w:color="497537" w:themeColor="accent3"/>
          <w:bottom w:val="single" w:sz="8" w:space="0" w:color="497537" w:themeColor="accent3"/>
        </w:tcBorders>
      </w:tcPr>
    </w:tblStylePr>
    <w:tblStylePr w:type="band1Vert">
      <w:tblPr/>
      <w:tcPr>
        <w:shd w:val="clear" w:color="auto" w:fill="CEE4C6" w:themeFill="accent3" w:themeFillTint="3F"/>
      </w:tcPr>
    </w:tblStylePr>
    <w:tblStylePr w:type="band1Horz">
      <w:tblPr/>
      <w:tcPr>
        <w:shd w:val="clear" w:color="auto" w:fill="CEE4C6" w:themeFill="accent3" w:themeFillTint="3F"/>
      </w:tcPr>
    </w:tblStylePr>
  </w:style>
  <w:style w:type="table" w:styleId="MediumList1-Accent4">
    <w:name w:val="Medium List 1 Accent 4"/>
    <w:basedOn w:val="TableNormal"/>
    <w:uiPriority w:val="65"/>
    <w:rsid w:val="008552F5"/>
    <w:pPr>
      <w:spacing w:after="0" w:line="240" w:lineRule="auto"/>
    </w:pPr>
    <w:rPr>
      <w:color w:val="9B9795" w:themeColor="text1"/>
    </w:rPr>
    <w:tblPr>
      <w:tblStyleRowBandSize w:val="1"/>
      <w:tblStyleColBandSize w:val="1"/>
      <w:tblBorders>
        <w:top w:val="single" w:sz="8" w:space="0" w:color="A19836" w:themeColor="accent4"/>
        <w:bottom w:val="single" w:sz="8" w:space="0" w:color="A19836" w:themeColor="accent4"/>
      </w:tblBorders>
    </w:tblPr>
    <w:tblStylePr w:type="firstRow">
      <w:rPr>
        <w:rFonts w:asciiTheme="majorHAnsi" w:eastAsiaTheme="majorEastAsia" w:hAnsiTheme="majorHAnsi" w:cstheme="majorBidi"/>
      </w:rPr>
      <w:tblPr/>
      <w:tcPr>
        <w:tcBorders>
          <w:top w:val="nil"/>
          <w:bottom w:val="single" w:sz="8" w:space="0" w:color="A19836" w:themeColor="accent4"/>
        </w:tcBorders>
      </w:tcPr>
    </w:tblStylePr>
    <w:tblStylePr w:type="lastRow">
      <w:rPr>
        <w:b/>
        <w:bCs/>
        <w:color w:val="CE7628" w:themeColor="text2"/>
      </w:rPr>
      <w:tblPr/>
      <w:tcPr>
        <w:tcBorders>
          <w:top w:val="single" w:sz="8" w:space="0" w:color="A19836" w:themeColor="accent4"/>
          <w:bottom w:val="single" w:sz="8" w:space="0" w:color="A19836" w:themeColor="accent4"/>
        </w:tcBorders>
      </w:tcPr>
    </w:tblStylePr>
    <w:tblStylePr w:type="firstCol">
      <w:rPr>
        <w:b/>
        <w:bCs/>
      </w:rPr>
    </w:tblStylePr>
    <w:tblStylePr w:type="lastCol">
      <w:rPr>
        <w:b/>
        <w:bCs/>
      </w:rPr>
      <w:tblPr/>
      <w:tcPr>
        <w:tcBorders>
          <w:top w:val="single" w:sz="8" w:space="0" w:color="A19836" w:themeColor="accent4"/>
          <w:bottom w:val="single" w:sz="8" w:space="0" w:color="A19836" w:themeColor="accent4"/>
        </w:tcBorders>
      </w:tcPr>
    </w:tblStylePr>
    <w:tblStylePr w:type="band1Vert">
      <w:tblPr/>
      <w:tcPr>
        <w:shd w:val="clear" w:color="auto" w:fill="ECE9C8" w:themeFill="accent4" w:themeFillTint="3F"/>
      </w:tcPr>
    </w:tblStylePr>
    <w:tblStylePr w:type="band1Horz">
      <w:tblPr/>
      <w:tcPr>
        <w:shd w:val="clear" w:color="auto" w:fill="ECE9C8" w:themeFill="accent4" w:themeFillTint="3F"/>
      </w:tcPr>
    </w:tblStylePr>
  </w:style>
  <w:style w:type="table" w:styleId="MediumList1-Accent5">
    <w:name w:val="Medium List 1 Accent 5"/>
    <w:basedOn w:val="TableNormal"/>
    <w:uiPriority w:val="65"/>
    <w:rsid w:val="008552F5"/>
    <w:pPr>
      <w:spacing w:after="0" w:line="240" w:lineRule="auto"/>
    </w:pPr>
    <w:rPr>
      <w:color w:val="9B9795" w:themeColor="text1"/>
    </w:rPr>
    <w:tblPr>
      <w:tblStyleRowBandSize w:val="1"/>
      <w:tblStyleColBandSize w:val="1"/>
      <w:tblBorders>
        <w:top w:val="single" w:sz="8" w:space="0" w:color="753749" w:themeColor="accent5"/>
        <w:bottom w:val="single" w:sz="8" w:space="0" w:color="753749" w:themeColor="accent5"/>
      </w:tblBorders>
    </w:tblPr>
    <w:tblStylePr w:type="firstRow">
      <w:rPr>
        <w:rFonts w:asciiTheme="majorHAnsi" w:eastAsiaTheme="majorEastAsia" w:hAnsiTheme="majorHAnsi" w:cstheme="majorBidi"/>
      </w:rPr>
      <w:tblPr/>
      <w:tcPr>
        <w:tcBorders>
          <w:top w:val="nil"/>
          <w:bottom w:val="single" w:sz="8" w:space="0" w:color="753749" w:themeColor="accent5"/>
        </w:tcBorders>
      </w:tcPr>
    </w:tblStylePr>
    <w:tblStylePr w:type="lastRow">
      <w:rPr>
        <w:b/>
        <w:bCs/>
        <w:color w:val="CE7628" w:themeColor="text2"/>
      </w:rPr>
      <w:tblPr/>
      <w:tcPr>
        <w:tcBorders>
          <w:top w:val="single" w:sz="8" w:space="0" w:color="753749" w:themeColor="accent5"/>
          <w:bottom w:val="single" w:sz="8" w:space="0" w:color="753749" w:themeColor="accent5"/>
        </w:tcBorders>
      </w:tcPr>
    </w:tblStylePr>
    <w:tblStylePr w:type="firstCol">
      <w:rPr>
        <w:b/>
        <w:bCs/>
      </w:rPr>
    </w:tblStylePr>
    <w:tblStylePr w:type="lastCol">
      <w:rPr>
        <w:b/>
        <w:bCs/>
      </w:rPr>
      <w:tblPr/>
      <w:tcPr>
        <w:tcBorders>
          <w:top w:val="single" w:sz="8" w:space="0" w:color="753749" w:themeColor="accent5"/>
          <w:bottom w:val="single" w:sz="8" w:space="0" w:color="753749" w:themeColor="accent5"/>
        </w:tcBorders>
      </w:tcPr>
    </w:tblStylePr>
    <w:tblStylePr w:type="band1Vert">
      <w:tblPr/>
      <w:tcPr>
        <w:shd w:val="clear" w:color="auto" w:fill="E4C6CE" w:themeFill="accent5" w:themeFillTint="3F"/>
      </w:tcPr>
    </w:tblStylePr>
    <w:tblStylePr w:type="band1Horz">
      <w:tblPr/>
      <w:tcPr>
        <w:shd w:val="clear" w:color="auto" w:fill="E4C6CE" w:themeFill="accent5" w:themeFillTint="3F"/>
      </w:tcPr>
    </w:tblStylePr>
  </w:style>
  <w:style w:type="table" w:styleId="MediumList1-Accent6">
    <w:name w:val="Medium List 1 Accent 6"/>
    <w:basedOn w:val="TableNormal"/>
    <w:uiPriority w:val="65"/>
    <w:rsid w:val="008552F5"/>
    <w:pPr>
      <w:spacing w:after="0" w:line="240" w:lineRule="auto"/>
    </w:pPr>
    <w:rPr>
      <w:color w:val="9B9795" w:themeColor="text1"/>
    </w:rPr>
    <w:tblPr>
      <w:tblStyleRowBandSize w:val="1"/>
      <w:tblStyleColBandSize w:val="1"/>
      <w:tblBorders>
        <w:top w:val="single" w:sz="8" w:space="0" w:color="F1AF1A" w:themeColor="accent6"/>
        <w:bottom w:val="single" w:sz="8" w:space="0" w:color="F1AF1A" w:themeColor="accent6"/>
      </w:tblBorders>
    </w:tblPr>
    <w:tblStylePr w:type="firstRow">
      <w:rPr>
        <w:rFonts w:asciiTheme="majorHAnsi" w:eastAsiaTheme="majorEastAsia" w:hAnsiTheme="majorHAnsi" w:cstheme="majorBidi"/>
      </w:rPr>
      <w:tblPr/>
      <w:tcPr>
        <w:tcBorders>
          <w:top w:val="nil"/>
          <w:bottom w:val="single" w:sz="8" w:space="0" w:color="F1AF1A" w:themeColor="accent6"/>
        </w:tcBorders>
      </w:tcPr>
    </w:tblStylePr>
    <w:tblStylePr w:type="lastRow">
      <w:rPr>
        <w:b/>
        <w:bCs/>
        <w:color w:val="CE7628" w:themeColor="text2"/>
      </w:rPr>
      <w:tblPr/>
      <w:tcPr>
        <w:tcBorders>
          <w:top w:val="single" w:sz="8" w:space="0" w:color="F1AF1A" w:themeColor="accent6"/>
          <w:bottom w:val="single" w:sz="8" w:space="0" w:color="F1AF1A" w:themeColor="accent6"/>
        </w:tcBorders>
      </w:tcPr>
    </w:tblStylePr>
    <w:tblStylePr w:type="firstCol">
      <w:rPr>
        <w:b/>
        <w:bCs/>
      </w:rPr>
    </w:tblStylePr>
    <w:tblStylePr w:type="lastCol">
      <w:rPr>
        <w:b/>
        <w:bCs/>
      </w:rPr>
      <w:tblPr/>
      <w:tcPr>
        <w:tcBorders>
          <w:top w:val="single" w:sz="8" w:space="0" w:color="F1AF1A" w:themeColor="accent6"/>
          <w:bottom w:val="single" w:sz="8" w:space="0" w:color="F1AF1A" w:themeColor="accent6"/>
        </w:tcBorders>
      </w:tcPr>
    </w:tblStylePr>
    <w:tblStylePr w:type="band1Vert">
      <w:tblPr/>
      <w:tcPr>
        <w:shd w:val="clear" w:color="auto" w:fill="FBEBC6" w:themeFill="accent6" w:themeFillTint="3F"/>
      </w:tcPr>
    </w:tblStylePr>
    <w:tblStylePr w:type="band1Horz">
      <w:tblPr/>
      <w:tcPr>
        <w:shd w:val="clear" w:color="auto" w:fill="FBEBC6" w:themeFill="accent6" w:themeFillTint="3F"/>
      </w:tcPr>
    </w:tblStylePr>
  </w:style>
  <w:style w:type="table" w:styleId="MediumList2">
    <w:name w:val="Medium List 2"/>
    <w:basedOn w:val="TableNormal"/>
    <w:uiPriority w:val="66"/>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9B9795" w:themeColor="text1"/>
        <w:left w:val="single" w:sz="8" w:space="0" w:color="9B9795" w:themeColor="text1"/>
        <w:bottom w:val="single" w:sz="8" w:space="0" w:color="9B9795" w:themeColor="text1"/>
        <w:right w:val="single" w:sz="8" w:space="0" w:color="9B9795" w:themeColor="text1"/>
      </w:tblBorders>
    </w:tblPr>
    <w:tblStylePr w:type="firstRow">
      <w:rPr>
        <w:sz w:val="24"/>
        <w:szCs w:val="24"/>
      </w:rPr>
      <w:tblPr/>
      <w:tcPr>
        <w:tcBorders>
          <w:top w:val="nil"/>
          <w:left w:val="nil"/>
          <w:bottom w:val="single" w:sz="24" w:space="0" w:color="9B9795" w:themeColor="text1"/>
          <w:right w:val="nil"/>
          <w:insideH w:val="nil"/>
          <w:insideV w:val="nil"/>
        </w:tcBorders>
        <w:shd w:val="clear" w:color="auto" w:fill="FFFFFF" w:themeFill="background1"/>
      </w:tcPr>
    </w:tblStylePr>
    <w:tblStylePr w:type="lastRow">
      <w:tblPr/>
      <w:tcPr>
        <w:tcBorders>
          <w:top w:val="single" w:sz="8" w:space="0" w:color="9B9795"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9795" w:themeColor="text1"/>
          <w:insideH w:val="nil"/>
          <w:insideV w:val="nil"/>
        </w:tcBorders>
        <w:shd w:val="clear" w:color="auto" w:fill="FFFFFF" w:themeFill="background1"/>
      </w:tcPr>
    </w:tblStylePr>
    <w:tblStylePr w:type="lastCol">
      <w:tblPr/>
      <w:tcPr>
        <w:tcBorders>
          <w:top w:val="nil"/>
          <w:left w:val="single" w:sz="8" w:space="0" w:color="9B9795"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5E4" w:themeFill="text1" w:themeFillTint="3F"/>
      </w:tcPr>
    </w:tblStylePr>
    <w:tblStylePr w:type="band1Horz">
      <w:tblPr/>
      <w:tcPr>
        <w:tcBorders>
          <w:top w:val="nil"/>
          <w:bottom w:val="nil"/>
          <w:insideH w:val="nil"/>
          <w:insideV w:val="nil"/>
        </w:tcBorders>
        <w:shd w:val="clear" w:color="auto" w:fill="E6E5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9B9795" w:themeColor="accent1"/>
        <w:left w:val="single" w:sz="8" w:space="0" w:color="9B9795" w:themeColor="accent1"/>
        <w:bottom w:val="single" w:sz="8" w:space="0" w:color="9B9795" w:themeColor="accent1"/>
        <w:right w:val="single" w:sz="8" w:space="0" w:color="9B9795" w:themeColor="accent1"/>
      </w:tblBorders>
    </w:tblPr>
    <w:tblStylePr w:type="firstRow">
      <w:rPr>
        <w:sz w:val="24"/>
        <w:szCs w:val="24"/>
      </w:rPr>
      <w:tblPr/>
      <w:tcPr>
        <w:tcBorders>
          <w:top w:val="nil"/>
          <w:left w:val="nil"/>
          <w:bottom w:val="single" w:sz="24" w:space="0" w:color="9B9795" w:themeColor="accent1"/>
          <w:right w:val="nil"/>
          <w:insideH w:val="nil"/>
          <w:insideV w:val="nil"/>
        </w:tcBorders>
        <w:shd w:val="clear" w:color="auto" w:fill="FFFFFF" w:themeFill="background1"/>
      </w:tcPr>
    </w:tblStylePr>
    <w:tblStylePr w:type="lastRow">
      <w:tblPr/>
      <w:tcPr>
        <w:tcBorders>
          <w:top w:val="single" w:sz="8" w:space="0" w:color="9B979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9795" w:themeColor="accent1"/>
          <w:insideH w:val="nil"/>
          <w:insideV w:val="nil"/>
        </w:tcBorders>
        <w:shd w:val="clear" w:color="auto" w:fill="FFFFFF" w:themeFill="background1"/>
      </w:tcPr>
    </w:tblStylePr>
    <w:tblStylePr w:type="lastCol">
      <w:tblPr/>
      <w:tcPr>
        <w:tcBorders>
          <w:top w:val="nil"/>
          <w:left w:val="single" w:sz="8" w:space="0" w:color="9B979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5E4" w:themeFill="accent1" w:themeFillTint="3F"/>
      </w:tcPr>
    </w:tblStylePr>
    <w:tblStylePr w:type="band1Horz">
      <w:tblPr/>
      <w:tcPr>
        <w:tcBorders>
          <w:top w:val="nil"/>
          <w:bottom w:val="nil"/>
          <w:insideH w:val="nil"/>
          <w:insideV w:val="nil"/>
        </w:tcBorders>
        <w:shd w:val="clear" w:color="auto" w:fill="E6E5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CE7628" w:themeColor="accent2"/>
        <w:left w:val="single" w:sz="8" w:space="0" w:color="CE7628" w:themeColor="accent2"/>
        <w:bottom w:val="single" w:sz="8" w:space="0" w:color="CE7628" w:themeColor="accent2"/>
        <w:right w:val="single" w:sz="8" w:space="0" w:color="CE7628" w:themeColor="accent2"/>
      </w:tblBorders>
    </w:tblPr>
    <w:tblStylePr w:type="firstRow">
      <w:rPr>
        <w:sz w:val="24"/>
        <w:szCs w:val="24"/>
      </w:rPr>
      <w:tblPr/>
      <w:tcPr>
        <w:tcBorders>
          <w:top w:val="nil"/>
          <w:left w:val="nil"/>
          <w:bottom w:val="single" w:sz="24" w:space="0" w:color="CE7628" w:themeColor="accent2"/>
          <w:right w:val="nil"/>
          <w:insideH w:val="nil"/>
          <w:insideV w:val="nil"/>
        </w:tcBorders>
        <w:shd w:val="clear" w:color="auto" w:fill="FFFFFF" w:themeFill="background1"/>
      </w:tcPr>
    </w:tblStylePr>
    <w:tblStylePr w:type="lastRow">
      <w:tblPr/>
      <w:tcPr>
        <w:tcBorders>
          <w:top w:val="single" w:sz="8" w:space="0" w:color="CE762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7628" w:themeColor="accent2"/>
          <w:insideH w:val="nil"/>
          <w:insideV w:val="nil"/>
        </w:tcBorders>
        <w:shd w:val="clear" w:color="auto" w:fill="FFFFFF" w:themeFill="background1"/>
      </w:tcPr>
    </w:tblStylePr>
    <w:tblStylePr w:type="lastCol">
      <w:tblPr/>
      <w:tcPr>
        <w:tcBorders>
          <w:top w:val="nil"/>
          <w:left w:val="single" w:sz="8" w:space="0" w:color="CE762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CC8" w:themeFill="accent2" w:themeFillTint="3F"/>
      </w:tcPr>
    </w:tblStylePr>
    <w:tblStylePr w:type="band1Horz">
      <w:tblPr/>
      <w:tcPr>
        <w:tcBorders>
          <w:top w:val="nil"/>
          <w:bottom w:val="nil"/>
          <w:insideH w:val="nil"/>
          <w:insideV w:val="nil"/>
        </w:tcBorders>
        <w:shd w:val="clear" w:color="auto" w:fill="F4DC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497537" w:themeColor="accent3"/>
        <w:left w:val="single" w:sz="8" w:space="0" w:color="497537" w:themeColor="accent3"/>
        <w:bottom w:val="single" w:sz="8" w:space="0" w:color="497537" w:themeColor="accent3"/>
        <w:right w:val="single" w:sz="8" w:space="0" w:color="497537" w:themeColor="accent3"/>
      </w:tblBorders>
    </w:tblPr>
    <w:tblStylePr w:type="firstRow">
      <w:rPr>
        <w:sz w:val="24"/>
        <w:szCs w:val="24"/>
      </w:rPr>
      <w:tblPr/>
      <w:tcPr>
        <w:tcBorders>
          <w:top w:val="nil"/>
          <w:left w:val="nil"/>
          <w:bottom w:val="single" w:sz="24" w:space="0" w:color="497537" w:themeColor="accent3"/>
          <w:right w:val="nil"/>
          <w:insideH w:val="nil"/>
          <w:insideV w:val="nil"/>
        </w:tcBorders>
        <w:shd w:val="clear" w:color="auto" w:fill="FFFFFF" w:themeFill="background1"/>
      </w:tcPr>
    </w:tblStylePr>
    <w:tblStylePr w:type="lastRow">
      <w:tblPr/>
      <w:tcPr>
        <w:tcBorders>
          <w:top w:val="single" w:sz="8" w:space="0" w:color="49753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7537" w:themeColor="accent3"/>
          <w:insideH w:val="nil"/>
          <w:insideV w:val="nil"/>
        </w:tcBorders>
        <w:shd w:val="clear" w:color="auto" w:fill="FFFFFF" w:themeFill="background1"/>
      </w:tcPr>
    </w:tblStylePr>
    <w:tblStylePr w:type="lastCol">
      <w:tblPr/>
      <w:tcPr>
        <w:tcBorders>
          <w:top w:val="nil"/>
          <w:left w:val="single" w:sz="8" w:space="0" w:color="49753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4C6" w:themeFill="accent3" w:themeFillTint="3F"/>
      </w:tcPr>
    </w:tblStylePr>
    <w:tblStylePr w:type="band1Horz">
      <w:tblPr/>
      <w:tcPr>
        <w:tcBorders>
          <w:top w:val="nil"/>
          <w:bottom w:val="nil"/>
          <w:insideH w:val="nil"/>
          <w:insideV w:val="nil"/>
        </w:tcBorders>
        <w:shd w:val="clear" w:color="auto" w:fill="CEE4C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A19836" w:themeColor="accent4"/>
        <w:left w:val="single" w:sz="8" w:space="0" w:color="A19836" w:themeColor="accent4"/>
        <w:bottom w:val="single" w:sz="8" w:space="0" w:color="A19836" w:themeColor="accent4"/>
        <w:right w:val="single" w:sz="8" w:space="0" w:color="A19836" w:themeColor="accent4"/>
      </w:tblBorders>
    </w:tblPr>
    <w:tblStylePr w:type="firstRow">
      <w:rPr>
        <w:sz w:val="24"/>
        <w:szCs w:val="24"/>
      </w:rPr>
      <w:tblPr/>
      <w:tcPr>
        <w:tcBorders>
          <w:top w:val="nil"/>
          <w:left w:val="nil"/>
          <w:bottom w:val="single" w:sz="24" w:space="0" w:color="A19836" w:themeColor="accent4"/>
          <w:right w:val="nil"/>
          <w:insideH w:val="nil"/>
          <w:insideV w:val="nil"/>
        </w:tcBorders>
        <w:shd w:val="clear" w:color="auto" w:fill="FFFFFF" w:themeFill="background1"/>
      </w:tcPr>
    </w:tblStylePr>
    <w:tblStylePr w:type="lastRow">
      <w:tblPr/>
      <w:tcPr>
        <w:tcBorders>
          <w:top w:val="single" w:sz="8" w:space="0" w:color="A1983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9836" w:themeColor="accent4"/>
          <w:insideH w:val="nil"/>
          <w:insideV w:val="nil"/>
        </w:tcBorders>
        <w:shd w:val="clear" w:color="auto" w:fill="FFFFFF" w:themeFill="background1"/>
      </w:tcPr>
    </w:tblStylePr>
    <w:tblStylePr w:type="lastCol">
      <w:tblPr/>
      <w:tcPr>
        <w:tcBorders>
          <w:top w:val="nil"/>
          <w:left w:val="single" w:sz="8" w:space="0" w:color="A1983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9C8" w:themeFill="accent4" w:themeFillTint="3F"/>
      </w:tcPr>
    </w:tblStylePr>
    <w:tblStylePr w:type="band1Horz">
      <w:tblPr/>
      <w:tcPr>
        <w:tcBorders>
          <w:top w:val="nil"/>
          <w:bottom w:val="nil"/>
          <w:insideH w:val="nil"/>
          <w:insideV w:val="nil"/>
        </w:tcBorders>
        <w:shd w:val="clear" w:color="auto" w:fill="ECE9C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753749" w:themeColor="accent5"/>
        <w:left w:val="single" w:sz="8" w:space="0" w:color="753749" w:themeColor="accent5"/>
        <w:bottom w:val="single" w:sz="8" w:space="0" w:color="753749" w:themeColor="accent5"/>
        <w:right w:val="single" w:sz="8" w:space="0" w:color="753749" w:themeColor="accent5"/>
      </w:tblBorders>
    </w:tblPr>
    <w:tblStylePr w:type="firstRow">
      <w:rPr>
        <w:sz w:val="24"/>
        <w:szCs w:val="24"/>
      </w:rPr>
      <w:tblPr/>
      <w:tcPr>
        <w:tcBorders>
          <w:top w:val="nil"/>
          <w:left w:val="nil"/>
          <w:bottom w:val="single" w:sz="24" w:space="0" w:color="753749" w:themeColor="accent5"/>
          <w:right w:val="nil"/>
          <w:insideH w:val="nil"/>
          <w:insideV w:val="nil"/>
        </w:tcBorders>
        <w:shd w:val="clear" w:color="auto" w:fill="FFFFFF" w:themeFill="background1"/>
      </w:tcPr>
    </w:tblStylePr>
    <w:tblStylePr w:type="lastRow">
      <w:tblPr/>
      <w:tcPr>
        <w:tcBorders>
          <w:top w:val="single" w:sz="8" w:space="0" w:color="75374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3749" w:themeColor="accent5"/>
          <w:insideH w:val="nil"/>
          <w:insideV w:val="nil"/>
        </w:tcBorders>
        <w:shd w:val="clear" w:color="auto" w:fill="FFFFFF" w:themeFill="background1"/>
      </w:tcPr>
    </w:tblStylePr>
    <w:tblStylePr w:type="lastCol">
      <w:tblPr/>
      <w:tcPr>
        <w:tcBorders>
          <w:top w:val="nil"/>
          <w:left w:val="single" w:sz="8" w:space="0" w:color="75374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C6CE" w:themeFill="accent5" w:themeFillTint="3F"/>
      </w:tcPr>
    </w:tblStylePr>
    <w:tblStylePr w:type="band1Horz">
      <w:tblPr/>
      <w:tcPr>
        <w:tcBorders>
          <w:top w:val="nil"/>
          <w:bottom w:val="nil"/>
          <w:insideH w:val="nil"/>
          <w:insideV w:val="nil"/>
        </w:tcBorders>
        <w:shd w:val="clear" w:color="auto" w:fill="E4C6C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F1AF1A" w:themeColor="accent6"/>
        <w:left w:val="single" w:sz="8" w:space="0" w:color="F1AF1A" w:themeColor="accent6"/>
        <w:bottom w:val="single" w:sz="8" w:space="0" w:color="F1AF1A" w:themeColor="accent6"/>
        <w:right w:val="single" w:sz="8" w:space="0" w:color="F1AF1A" w:themeColor="accent6"/>
      </w:tblBorders>
    </w:tblPr>
    <w:tblStylePr w:type="firstRow">
      <w:rPr>
        <w:sz w:val="24"/>
        <w:szCs w:val="24"/>
      </w:rPr>
      <w:tblPr/>
      <w:tcPr>
        <w:tcBorders>
          <w:top w:val="nil"/>
          <w:left w:val="nil"/>
          <w:bottom w:val="single" w:sz="24" w:space="0" w:color="F1AF1A" w:themeColor="accent6"/>
          <w:right w:val="nil"/>
          <w:insideH w:val="nil"/>
          <w:insideV w:val="nil"/>
        </w:tcBorders>
        <w:shd w:val="clear" w:color="auto" w:fill="FFFFFF" w:themeFill="background1"/>
      </w:tcPr>
    </w:tblStylePr>
    <w:tblStylePr w:type="lastRow">
      <w:tblPr/>
      <w:tcPr>
        <w:tcBorders>
          <w:top w:val="single" w:sz="8" w:space="0" w:color="F1AF1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AF1A" w:themeColor="accent6"/>
          <w:insideH w:val="nil"/>
          <w:insideV w:val="nil"/>
        </w:tcBorders>
        <w:shd w:val="clear" w:color="auto" w:fill="FFFFFF" w:themeFill="background1"/>
      </w:tcPr>
    </w:tblStylePr>
    <w:tblStylePr w:type="lastCol">
      <w:tblPr/>
      <w:tcPr>
        <w:tcBorders>
          <w:top w:val="nil"/>
          <w:left w:val="single" w:sz="8" w:space="0" w:color="F1AF1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BC6" w:themeFill="accent6" w:themeFillTint="3F"/>
      </w:tcPr>
    </w:tblStylePr>
    <w:tblStylePr w:type="band1Horz">
      <w:tblPr/>
      <w:tcPr>
        <w:tcBorders>
          <w:top w:val="nil"/>
          <w:bottom w:val="nil"/>
          <w:insideH w:val="nil"/>
          <w:insideV w:val="nil"/>
        </w:tcBorders>
        <w:shd w:val="clear" w:color="auto" w:fill="FBEBC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8552F5"/>
    <w:pPr>
      <w:spacing w:after="0" w:line="240" w:lineRule="auto"/>
    </w:pPr>
    <w:tblPr>
      <w:tblStyleRowBandSize w:val="1"/>
      <w:tblStyleColBandSize w:val="1"/>
      <w:tblBorders>
        <w:top w:val="single" w:sz="8" w:space="0" w:color="B4B1AF" w:themeColor="text1" w:themeTint="BF"/>
        <w:left w:val="single" w:sz="8" w:space="0" w:color="B4B1AF" w:themeColor="text1" w:themeTint="BF"/>
        <w:bottom w:val="single" w:sz="8" w:space="0" w:color="B4B1AF" w:themeColor="text1" w:themeTint="BF"/>
        <w:right w:val="single" w:sz="8" w:space="0" w:color="B4B1AF" w:themeColor="text1" w:themeTint="BF"/>
        <w:insideH w:val="single" w:sz="8" w:space="0" w:color="B4B1AF" w:themeColor="text1" w:themeTint="BF"/>
      </w:tblBorders>
    </w:tblPr>
    <w:tblStylePr w:type="firstRow">
      <w:pPr>
        <w:spacing w:before="0" w:after="0" w:line="240" w:lineRule="auto"/>
      </w:pPr>
      <w:rPr>
        <w:b/>
        <w:bCs/>
        <w:color w:val="FFFFFF" w:themeColor="background1"/>
      </w:rPr>
      <w:tblPr/>
      <w:tcPr>
        <w:tcBorders>
          <w:top w:val="single" w:sz="8" w:space="0" w:color="B4B1AF" w:themeColor="text1" w:themeTint="BF"/>
          <w:left w:val="single" w:sz="8" w:space="0" w:color="B4B1AF" w:themeColor="text1" w:themeTint="BF"/>
          <w:bottom w:val="single" w:sz="8" w:space="0" w:color="B4B1AF" w:themeColor="text1" w:themeTint="BF"/>
          <w:right w:val="single" w:sz="8" w:space="0" w:color="B4B1AF" w:themeColor="text1" w:themeTint="BF"/>
          <w:insideH w:val="nil"/>
          <w:insideV w:val="nil"/>
        </w:tcBorders>
        <w:shd w:val="clear" w:color="auto" w:fill="9B9795" w:themeFill="text1"/>
      </w:tcPr>
    </w:tblStylePr>
    <w:tblStylePr w:type="lastRow">
      <w:pPr>
        <w:spacing w:before="0" w:after="0" w:line="240" w:lineRule="auto"/>
      </w:pPr>
      <w:rPr>
        <w:b/>
        <w:bCs/>
      </w:rPr>
      <w:tblPr/>
      <w:tcPr>
        <w:tcBorders>
          <w:top w:val="double" w:sz="6" w:space="0" w:color="B4B1AF" w:themeColor="text1" w:themeTint="BF"/>
          <w:left w:val="single" w:sz="8" w:space="0" w:color="B4B1AF" w:themeColor="text1" w:themeTint="BF"/>
          <w:bottom w:val="single" w:sz="8" w:space="0" w:color="B4B1AF" w:themeColor="text1" w:themeTint="BF"/>
          <w:right w:val="single" w:sz="8" w:space="0" w:color="B4B1AF" w:themeColor="text1" w:themeTint="BF"/>
          <w:insideH w:val="nil"/>
          <w:insideV w:val="nil"/>
        </w:tcBorders>
      </w:tcPr>
    </w:tblStylePr>
    <w:tblStylePr w:type="firstCol">
      <w:rPr>
        <w:b/>
        <w:bCs/>
      </w:rPr>
    </w:tblStylePr>
    <w:tblStylePr w:type="lastCol">
      <w:rPr>
        <w:b/>
        <w:bCs/>
      </w:rPr>
    </w:tblStylePr>
    <w:tblStylePr w:type="band1Vert">
      <w:tblPr/>
      <w:tcPr>
        <w:shd w:val="clear" w:color="auto" w:fill="E6E5E4" w:themeFill="text1" w:themeFillTint="3F"/>
      </w:tcPr>
    </w:tblStylePr>
    <w:tblStylePr w:type="band1Horz">
      <w:tblPr/>
      <w:tcPr>
        <w:tcBorders>
          <w:insideH w:val="nil"/>
          <w:insideV w:val="nil"/>
        </w:tcBorders>
        <w:shd w:val="clear" w:color="auto" w:fill="E6E5E4"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552F5"/>
    <w:pPr>
      <w:spacing w:after="0" w:line="240" w:lineRule="auto"/>
    </w:pPr>
    <w:tblPr>
      <w:tblStyleRowBandSize w:val="1"/>
      <w:tblStyleColBandSize w:val="1"/>
      <w:tblBorders>
        <w:top w:val="single" w:sz="8" w:space="0" w:color="B4B1AF" w:themeColor="accent1" w:themeTint="BF"/>
        <w:left w:val="single" w:sz="8" w:space="0" w:color="B4B1AF" w:themeColor="accent1" w:themeTint="BF"/>
        <w:bottom w:val="single" w:sz="8" w:space="0" w:color="B4B1AF" w:themeColor="accent1" w:themeTint="BF"/>
        <w:right w:val="single" w:sz="8" w:space="0" w:color="B4B1AF" w:themeColor="accent1" w:themeTint="BF"/>
        <w:insideH w:val="single" w:sz="8" w:space="0" w:color="B4B1AF" w:themeColor="accent1" w:themeTint="BF"/>
      </w:tblBorders>
    </w:tblPr>
    <w:tblStylePr w:type="firstRow">
      <w:pPr>
        <w:spacing w:before="0" w:after="0" w:line="240" w:lineRule="auto"/>
      </w:pPr>
      <w:rPr>
        <w:b/>
        <w:bCs/>
        <w:color w:val="FFFFFF" w:themeColor="background1"/>
      </w:rPr>
      <w:tblPr/>
      <w:tcPr>
        <w:tcBorders>
          <w:top w:val="single" w:sz="8" w:space="0" w:color="B4B1AF" w:themeColor="accent1" w:themeTint="BF"/>
          <w:left w:val="single" w:sz="8" w:space="0" w:color="B4B1AF" w:themeColor="accent1" w:themeTint="BF"/>
          <w:bottom w:val="single" w:sz="8" w:space="0" w:color="B4B1AF" w:themeColor="accent1" w:themeTint="BF"/>
          <w:right w:val="single" w:sz="8" w:space="0" w:color="B4B1AF" w:themeColor="accent1" w:themeTint="BF"/>
          <w:insideH w:val="nil"/>
          <w:insideV w:val="nil"/>
        </w:tcBorders>
        <w:shd w:val="clear" w:color="auto" w:fill="9B9795" w:themeFill="accent1"/>
      </w:tcPr>
    </w:tblStylePr>
    <w:tblStylePr w:type="lastRow">
      <w:pPr>
        <w:spacing w:before="0" w:after="0" w:line="240" w:lineRule="auto"/>
      </w:pPr>
      <w:rPr>
        <w:b/>
        <w:bCs/>
      </w:rPr>
      <w:tblPr/>
      <w:tcPr>
        <w:tcBorders>
          <w:top w:val="double" w:sz="6" w:space="0" w:color="B4B1AF" w:themeColor="accent1" w:themeTint="BF"/>
          <w:left w:val="single" w:sz="8" w:space="0" w:color="B4B1AF" w:themeColor="accent1" w:themeTint="BF"/>
          <w:bottom w:val="single" w:sz="8" w:space="0" w:color="B4B1AF" w:themeColor="accent1" w:themeTint="BF"/>
          <w:right w:val="single" w:sz="8" w:space="0" w:color="B4B1AF"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E5E4" w:themeFill="accent1" w:themeFillTint="3F"/>
      </w:tcPr>
    </w:tblStylePr>
    <w:tblStylePr w:type="band1Horz">
      <w:tblPr/>
      <w:tcPr>
        <w:tcBorders>
          <w:insideH w:val="nil"/>
          <w:insideV w:val="nil"/>
        </w:tcBorders>
        <w:shd w:val="clear" w:color="auto" w:fill="E6E5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552F5"/>
    <w:pPr>
      <w:spacing w:after="0" w:line="240" w:lineRule="auto"/>
    </w:pPr>
    <w:tblPr>
      <w:tblStyleRowBandSize w:val="1"/>
      <w:tblStyleColBandSize w:val="1"/>
      <w:tblBorders>
        <w:top w:val="single" w:sz="8" w:space="0" w:color="DE9759" w:themeColor="accent2" w:themeTint="BF"/>
        <w:left w:val="single" w:sz="8" w:space="0" w:color="DE9759" w:themeColor="accent2" w:themeTint="BF"/>
        <w:bottom w:val="single" w:sz="8" w:space="0" w:color="DE9759" w:themeColor="accent2" w:themeTint="BF"/>
        <w:right w:val="single" w:sz="8" w:space="0" w:color="DE9759" w:themeColor="accent2" w:themeTint="BF"/>
        <w:insideH w:val="single" w:sz="8" w:space="0" w:color="DE9759" w:themeColor="accent2" w:themeTint="BF"/>
      </w:tblBorders>
    </w:tblPr>
    <w:tblStylePr w:type="firstRow">
      <w:pPr>
        <w:spacing w:before="0" w:after="0" w:line="240" w:lineRule="auto"/>
      </w:pPr>
      <w:rPr>
        <w:b/>
        <w:bCs/>
        <w:color w:val="FFFFFF" w:themeColor="background1"/>
      </w:rPr>
      <w:tblPr/>
      <w:tcPr>
        <w:tcBorders>
          <w:top w:val="single" w:sz="8" w:space="0" w:color="DE9759" w:themeColor="accent2" w:themeTint="BF"/>
          <w:left w:val="single" w:sz="8" w:space="0" w:color="DE9759" w:themeColor="accent2" w:themeTint="BF"/>
          <w:bottom w:val="single" w:sz="8" w:space="0" w:color="DE9759" w:themeColor="accent2" w:themeTint="BF"/>
          <w:right w:val="single" w:sz="8" w:space="0" w:color="DE9759" w:themeColor="accent2" w:themeTint="BF"/>
          <w:insideH w:val="nil"/>
          <w:insideV w:val="nil"/>
        </w:tcBorders>
        <w:shd w:val="clear" w:color="auto" w:fill="CE7628" w:themeFill="accent2"/>
      </w:tcPr>
    </w:tblStylePr>
    <w:tblStylePr w:type="lastRow">
      <w:pPr>
        <w:spacing w:before="0" w:after="0" w:line="240" w:lineRule="auto"/>
      </w:pPr>
      <w:rPr>
        <w:b/>
        <w:bCs/>
      </w:rPr>
      <w:tblPr/>
      <w:tcPr>
        <w:tcBorders>
          <w:top w:val="double" w:sz="6" w:space="0" w:color="DE9759" w:themeColor="accent2" w:themeTint="BF"/>
          <w:left w:val="single" w:sz="8" w:space="0" w:color="DE9759" w:themeColor="accent2" w:themeTint="BF"/>
          <w:bottom w:val="single" w:sz="8" w:space="0" w:color="DE9759" w:themeColor="accent2" w:themeTint="BF"/>
          <w:right w:val="single" w:sz="8" w:space="0" w:color="DE975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DCC8" w:themeFill="accent2" w:themeFillTint="3F"/>
      </w:tcPr>
    </w:tblStylePr>
    <w:tblStylePr w:type="band1Horz">
      <w:tblPr/>
      <w:tcPr>
        <w:tcBorders>
          <w:insideH w:val="nil"/>
          <w:insideV w:val="nil"/>
        </w:tcBorders>
        <w:shd w:val="clear" w:color="auto" w:fill="F4DC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552F5"/>
    <w:pPr>
      <w:spacing w:after="0" w:line="240" w:lineRule="auto"/>
    </w:pPr>
    <w:tblPr>
      <w:tblStyleRowBandSize w:val="1"/>
      <w:tblStyleColBandSize w:val="1"/>
      <w:tblBorders>
        <w:top w:val="single" w:sz="8" w:space="0" w:color="6DAE52" w:themeColor="accent3" w:themeTint="BF"/>
        <w:left w:val="single" w:sz="8" w:space="0" w:color="6DAE52" w:themeColor="accent3" w:themeTint="BF"/>
        <w:bottom w:val="single" w:sz="8" w:space="0" w:color="6DAE52" w:themeColor="accent3" w:themeTint="BF"/>
        <w:right w:val="single" w:sz="8" w:space="0" w:color="6DAE52" w:themeColor="accent3" w:themeTint="BF"/>
        <w:insideH w:val="single" w:sz="8" w:space="0" w:color="6DAE52" w:themeColor="accent3" w:themeTint="BF"/>
      </w:tblBorders>
    </w:tblPr>
    <w:tblStylePr w:type="firstRow">
      <w:pPr>
        <w:spacing w:before="0" w:after="0" w:line="240" w:lineRule="auto"/>
      </w:pPr>
      <w:rPr>
        <w:b/>
        <w:bCs/>
        <w:color w:val="FFFFFF" w:themeColor="background1"/>
      </w:rPr>
      <w:tblPr/>
      <w:tcPr>
        <w:tcBorders>
          <w:top w:val="single" w:sz="8" w:space="0" w:color="6DAE52" w:themeColor="accent3" w:themeTint="BF"/>
          <w:left w:val="single" w:sz="8" w:space="0" w:color="6DAE52" w:themeColor="accent3" w:themeTint="BF"/>
          <w:bottom w:val="single" w:sz="8" w:space="0" w:color="6DAE52" w:themeColor="accent3" w:themeTint="BF"/>
          <w:right w:val="single" w:sz="8" w:space="0" w:color="6DAE52" w:themeColor="accent3" w:themeTint="BF"/>
          <w:insideH w:val="nil"/>
          <w:insideV w:val="nil"/>
        </w:tcBorders>
        <w:shd w:val="clear" w:color="auto" w:fill="497537" w:themeFill="accent3"/>
      </w:tcPr>
    </w:tblStylePr>
    <w:tblStylePr w:type="lastRow">
      <w:pPr>
        <w:spacing w:before="0" w:after="0" w:line="240" w:lineRule="auto"/>
      </w:pPr>
      <w:rPr>
        <w:b/>
        <w:bCs/>
      </w:rPr>
      <w:tblPr/>
      <w:tcPr>
        <w:tcBorders>
          <w:top w:val="double" w:sz="6" w:space="0" w:color="6DAE52" w:themeColor="accent3" w:themeTint="BF"/>
          <w:left w:val="single" w:sz="8" w:space="0" w:color="6DAE52" w:themeColor="accent3" w:themeTint="BF"/>
          <w:bottom w:val="single" w:sz="8" w:space="0" w:color="6DAE52" w:themeColor="accent3" w:themeTint="BF"/>
          <w:right w:val="single" w:sz="8" w:space="0" w:color="6DAE5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E4C6" w:themeFill="accent3" w:themeFillTint="3F"/>
      </w:tcPr>
    </w:tblStylePr>
    <w:tblStylePr w:type="band1Horz">
      <w:tblPr/>
      <w:tcPr>
        <w:tcBorders>
          <w:insideH w:val="nil"/>
          <w:insideV w:val="nil"/>
        </w:tcBorders>
        <w:shd w:val="clear" w:color="auto" w:fill="CEE4C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552F5"/>
    <w:pPr>
      <w:spacing w:after="0" w:line="240" w:lineRule="auto"/>
    </w:pPr>
    <w:tblPr>
      <w:tblStyleRowBandSize w:val="1"/>
      <w:tblStyleColBandSize w:val="1"/>
      <w:tblBorders>
        <w:top w:val="single" w:sz="8" w:space="0" w:color="C7BE59" w:themeColor="accent4" w:themeTint="BF"/>
        <w:left w:val="single" w:sz="8" w:space="0" w:color="C7BE59" w:themeColor="accent4" w:themeTint="BF"/>
        <w:bottom w:val="single" w:sz="8" w:space="0" w:color="C7BE59" w:themeColor="accent4" w:themeTint="BF"/>
        <w:right w:val="single" w:sz="8" w:space="0" w:color="C7BE59" w:themeColor="accent4" w:themeTint="BF"/>
        <w:insideH w:val="single" w:sz="8" w:space="0" w:color="C7BE59" w:themeColor="accent4" w:themeTint="BF"/>
      </w:tblBorders>
    </w:tblPr>
    <w:tblStylePr w:type="firstRow">
      <w:pPr>
        <w:spacing w:before="0" w:after="0" w:line="240" w:lineRule="auto"/>
      </w:pPr>
      <w:rPr>
        <w:b/>
        <w:bCs/>
        <w:color w:val="FFFFFF" w:themeColor="background1"/>
      </w:rPr>
      <w:tblPr/>
      <w:tcPr>
        <w:tcBorders>
          <w:top w:val="single" w:sz="8" w:space="0" w:color="C7BE59" w:themeColor="accent4" w:themeTint="BF"/>
          <w:left w:val="single" w:sz="8" w:space="0" w:color="C7BE59" w:themeColor="accent4" w:themeTint="BF"/>
          <w:bottom w:val="single" w:sz="8" w:space="0" w:color="C7BE59" w:themeColor="accent4" w:themeTint="BF"/>
          <w:right w:val="single" w:sz="8" w:space="0" w:color="C7BE59" w:themeColor="accent4" w:themeTint="BF"/>
          <w:insideH w:val="nil"/>
          <w:insideV w:val="nil"/>
        </w:tcBorders>
        <w:shd w:val="clear" w:color="auto" w:fill="A19836" w:themeFill="accent4"/>
      </w:tcPr>
    </w:tblStylePr>
    <w:tblStylePr w:type="lastRow">
      <w:pPr>
        <w:spacing w:before="0" w:after="0" w:line="240" w:lineRule="auto"/>
      </w:pPr>
      <w:rPr>
        <w:b/>
        <w:bCs/>
      </w:rPr>
      <w:tblPr/>
      <w:tcPr>
        <w:tcBorders>
          <w:top w:val="double" w:sz="6" w:space="0" w:color="C7BE59" w:themeColor="accent4" w:themeTint="BF"/>
          <w:left w:val="single" w:sz="8" w:space="0" w:color="C7BE59" w:themeColor="accent4" w:themeTint="BF"/>
          <w:bottom w:val="single" w:sz="8" w:space="0" w:color="C7BE59" w:themeColor="accent4" w:themeTint="BF"/>
          <w:right w:val="single" w:sz="8" w:space="0" w:color="C7BE59"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9C8" w:themeFill="accent4" w:themeFillTint="3F"/>
      </w:tcPr>
    </w:tblStylePr>
    <w:tblStylePr w:type="band1Horz">
      <w:tblPr/>
      <w:tcPr>
        <w:tcBorders>
          <w:insideH w:val="nil"/>
          <w:insideV w:val="nil"/>
        </w:tcBorders>
        <w:shd w:val="clear" w:color="auto" w:fill="ECE9C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552F5"/>
    <w:pPr>
      <w:spacing w:after="0" w:line="240" w:lineRule="auto"/>
    </w:pPr>
    <w:tblPr>
      <w:tblStyleRowBandSize w:val="1"/>
      <w:tblStyleColBandSize w:val="1"/>
      <w:tblBorders>
        <w:top w:val="single" w:sz="8" w:space="0" w:color="AE526D" w:themeColor="accent5" w:themeTint="BF"/>
        <w:left w:val="single" w:sz="8" w:space="0" w:color="AE526D" w:themeColor="accent5" w:themeTint="BF"/>
        <w:bottom w:val="single" w:sz="8" w:space="0" w:color="AE526D" w:themeColor="accent5" w:themeTint="BF"/>
        <w:right w:val="single" w:sz="8" w:space="0" w:color="AE526D" w:themeColor="accent5" w:themeTint="BF"/>
        <w:insideH w:val="single" w:sz="8" w:space="0" w:color="AE526D" w:themeColor="accent5" w:themeTint="BF"/>
      </w:tblBorders>
    </w:tblPr>
    <w:tblStylePr w:type="firstRow">
      <w:pPr>
        <w:spacing w:before="0" w:after="0" w:line="240" w:lineRule="auto"/>
      </w:pPr>
      <w:rPr>
        <w:b/>
        <w:bCs/>
        <w:color w:val="FFFFFF" w:themeColor="background1"/>
      </w:rPr>
      <w:tblPr/>
      <w:tcPr>
        <w:tcBorders>
          <w:top w:val="single" w:sz="8" w:space="0" w:color="AE526D" w:themeColor="accent5" w:themeTint="BF"/>
          <w:left w:val="single" w:sz="8" w:space="0" w:color="AE526D" w:themeColor="accent5" w:themeTint="BF"/>
          <w:bottom w:val="single" w:sz="8" w:space="0" w:color="AE526D" w:themeColor="accent5" w:themeTint="BF"/>
          <w:right w:val="single" w:sz="8" w:space="0" w:color="AE526D" w:themeColor="accent5" w:themeTint="BF"/>
          <w:insideH w:val="nil"/>
          <w:insideV w:val="nil"/>
        </w:tcBorders>
        <w:shd w:val="clear" w:color="auto" w:fill="753749" w:themeFill="accent5"/>
      </w:tcPr>
    </w:tblStylePr>
    <w:tblStylePr w:type="lastRow">
      <w:pPr>
        <w:spacing w:before="0" w:after="0" w:line="240" w:lineRule="auto"/>
      </w:pPr>
      <w:rPr>
        <w:b/>
        <w:bCs/>
      </w:rPr>
      <w:tblPr/>
      <w:tcPr>
        <w:tcBorders>
          <w:top w:val="double" w:sz="6" w:space="0" w:color="AE526D" w:themeColor="accent5" w:themeTint="BF"/>
          <w:left w:val="single" w:sz="8" w:space="0" w:color="AE526D" w:themeColor="accent5" w:themeTint="BF"/>
          <w:bottom w:val="single" w:sz="8" w:space="0" w:color="AE526D" w:themeColor="accent5" w:themeTint="BF"/>
          <w:right w:val="single" w:sz="8" w:space="0" w:color="AE526D" w:themeColor="accent5" w:themeTint="BF"/>
          <w:insideH w:val="nil"/>
          <w:insideV w:val="nil"/>
        </w:tcBorders>
      </w:tcPr>
    </w:tblStylePr>
    <w:tblStylePr w:type="firstCol">
      <w:rPr>
        <w:b/>
        <w:bCs/>
      </w:rPr>
    </w:tblStylePr>
    <w:tblStylePr w:type="lastCol">
      <w:rPr>
        <w:b/>
        <w:bCs/>
      </w:rPr>
    </w:tblStylePr>
    <w:tblStylePr w:type="band1Vert">
      <w:tblPr/>
      <w:tcPr>
        <w:shd w:val="clear" w:color="auto" w:fill="E4C6CE" w:themeFill="accent5" w:themeFillTint="3F"/>
      </w:tcPr>
    </w:tblStylePr>
    <w:tblStylePr w:type="band1Horz">
      <w:tblPr/>
      <w:tcPr>
        <w:tcBorders>
          <w:insideH w:val="nil"/>
          <w:insideV w:val="nil"/>
        </w:tcBorders>
        <w:shd w:val="clear" w:color="auto" w:fill="E4C6C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552F5"/>
    <w:pPr>
      <w:spacing w:after="0" w:line="240" w:lineRule="auto"/>
    </w:pPr>
    <w:tblPr>
      <w:tblStyleRowBandSize w:val="1"/>
      <w:tblStyleColBandSize w:val="1"/>
      <w:tblBorders>
        <w:top w:val="single" w:sz="8" w:space="0" w:color="F4C253" w:themeColor="accent6" w:themeTint="BF"/>
        <w:left w:val="single" w:sz="8" w:space="0" w:color="F4C253" w:themeColor="accent6" w:themeTint="BF"/>
        <w:bottom w:val="single" w:sz="8" w:space="0" w:color="F4C253" w:themeColor="accent6" w:themeTint="BF"/>
        <w:right w:val="single" w:sz="8" w:space="0" w:color="F4C253" w:themeColor="accent6" w:themeTint="BF"/>
        <w:insideH w:val="single" w:sz="8" w:space="0" w:color="F4C253" w:themeColor="accent6" w:themeTint="BF"/>
      </w:tblBorders>
    </w:tblPr>
    <w:tblStylePr w:type="firstRow">
      <w:pPr>
        <w:spacing w:before="0" w:after="0" w:line="240" w:lineRule="auto"/>
      </w:pPr>
      <w:rPr>
        <w:b/>
        <w:bCs/>
        <w:color w:val="FFFFFF" w:themeColor="background1"/>
      </w:rPr>
      <w:tblPr/>
      <w:tcPr>
        <w:tcBorders>
          <w:top w:val="single" w:sz="8" w:space="0" w:color="F4C253" w:themeColor="accent6" w:themeTint="BF"/>
          <w:left w:val="single" w:sz="8" w:space="0" w:color="F4C253" w:themeColor="accent6" w:themeTint="BF"/>
          <w:bottom w:val="single" w:sz="8" w:space="0" w:color="F4C253" w:themeColor="accent6" w:themeTint="BF"/>
          <w:right w:val="single" w:sz="8" w:space="0" w:color="F4C253" w:themeColor="accent6" w:themeTint="BF"/>
          <w:insideH w:val="nil"/>
          <w:insideV w:val="nil"/>
        </w:tcBorders>
        <w:shd w:val="clear" w:color="auto" w:fill="F1AF1A" w:themeFill="accent6"/>
      </w:tcPr>
    </w:tblStylePr>
    <w:tblStylePr w:type="lastRow">
      <w:pPr>
        <w:spacing w:before="0" w:after="0" w:line="240" w:lineRule="auto"/>
      </w:pPr>
      <w:rPr>
        <w:b/>
        <w:bCs/>
      </w:rPr>
      <w:tblPr/>
      <w:tcPr>
        <w:tcBorders>
          <w:top w:val="double" w:sz="6" w:space="0" w:color="F4C253" w:themeColor="accent6" w:themeTint="BF"/>
          <w:left w:val="single" w:sz="8" w:space="0" w:color="F4C253" w:themeColor="accent6" w:themeTint="BF"/>
          <w:bottom w:val="single" w:sz="8" w:space="0" w:color="F4C253" w:themeColor="accent6" w:themeTint="BF"/>
          <w:right w:val="single" w:sz="8" w:space="0" w:color="F4C253"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BC6" w:themeFill="accent6" w:themeFillTint="3F"/>
      </w:tcPr>
    </w:tblStylePr>
    <w:tblStylePr w:type="band1Horz">
      <w:tblPr/>
      <w:tcPr>
        <w:tcBorders>
          <w:insideH w:val="nil"/>
          <w:insideV w:val="nil"/>
        </w:tcBorders>
        <w:shd w:val="clear" w:color="auto" w:fill="FBEBC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8552F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9795"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9795" w:themeFill="text1"/>
      </w:tcPr>
    </w:tblStylePr>
    <w:tblStylePr w:type="lastCol">
      <w:rPr>
        <w:b/>
        <w:bCs/>
        <w:color w:val="FFFFFF" w:themeColor="background1"/>
      </w:rPr>
      <w:tblPr/>
      <w:tcPr>
        <w:tcBorders>
          <w:left w:val="nil"/>
          <w:right w:val="nil"/>
          <w:insideH w:val="nil"/>
          <w:insideV w:val="nil"/>
        </w:tcBorders>
        <w:shd w:val="clear" w:color="auto" w:fill="9B9795"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552F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979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9795" w:themeFill="accent1"/>
      </w:tcPr>
    </w:tblStylePr>
    <w:tblStylePr w:type="lastCol">
      <w:rPr>
        <w:b/>
        <w:bCs/>
        <w:color w:val="FFFFFF" w:themeColor="background1"/>
      </w:rPr>
      <w:tblPr/>
      <w:tcPr>
        <w:tcBorders>
          <w:left w:val="nil"/>
          <w:right w:val="nil"/>
          <w:insideH w:val="nil"/>
          <w:insideV w:val="nil"/>
        </w:tcBorders>
        <w:shd w:val="clear" w:color="auto" w:fill="9B979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552F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762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7628" w:themeFill="accent2"/>
      </w:tcPr>
    </w:tblStylePr>
    <w:tblStylePr w:type="lastCol">
      <w:rPr>
        <w:b/>
        <w:bCs/>
        <w:color w:val="FFFFFF" w:themeColor="background1"/>
      </w:rPr>
      <w:tblPr/>
      <w:tcPr>
        <w:tcBorders>
          <w:left w:val="nil"/>
          <w:right w:val="nil"/>
          <w:insideH w:val="nil"/>
          <w:insideV w:val="nil"/>
        </w:tcBorders>
        <w:shd w:val="clear" w:color="auto" w:fill="CE762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552F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753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97537" w:themeFill="accent3"/>
      </w:tcPr>
    </w:tblStylePr>
    <w:tblStylePr w:type="lastCol">
      <w:rPr>
        <w:b/>
        <w:bCs/>
        <w:color w:val="FFFFFF" w:themeColor="background1"/>
      </w:rPr>
      <w:tblPr/>
      <w:tcPr>
        <w:tcBorders>
          <w:left w:val="nil"/>
          <w:right w:val="nil"/>
          <w:insideH w:val="nil"/>
          <w:insideV w:val="nil"/>
        </w:tcBorders>
        <w:shd w:val="clear" w:color="auto" w:fill="49753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552F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983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9836" w:themeFill="accent4"/>
      </w:tcPr>
    </w:tblStylePr>
    <w:tblStylePr w:type="lastCol">
      <w:rPr>
        <w:b/>
        <w:bCs/>
        <w:color w:val="FFFFFF" w:themeColor="background1"/>
      </w:rPr>
      <w:tblPr/>
      <w:tcPr>
        <w:tcBorders>
          <w:left w:val="nil"/>
          <w:right w:val="nil"/>
          <w:insideH w:val="nil"/>
          <w:insideV w:val="nil"/>
        </w:tcBorders>
        <w:shd w:val="clear" w:color="auto" w:fill="A1983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552F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374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3749" w:themeFill="accent5"/>
      </w:tcPr>
    </w:tblStylePr>
    <w:tblStylePr w:type="lastCol">
      <w:rPr>
        <w:b/>
        <w:bCs/>
        <w:color w:val="FFFFFF" w:themeColor="background1"/>
      </w:rPr>
      <w:tblPr/>
      <w:tcPr>
        <w:tcBorders>
          <w:left w:val="nil"/>
          <w:right w:val="nil"/>
          <w:insideH w:val="nil"/>
          <w:insideV w:val="nil"/>
        </w:tcBorders>
        <w:shd w:val="clear" w:color="auto" w:fill="75374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552F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AF1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AF1A" w:themeFill="accent6"/>
      </w:tcPr>
    </w:tblStylePr>
    <w:tblStylePr w:type="lastCol">
      <w:rPr>
        <w:b/>
        <w:bCs/>
        <w:color w:val="FFFFFF" w:themeColor="background1"/>
      </w:rPr>
      <w:tblPr/>
      <w:tcPr>
        <w:tcBorders>
          <w:left w:val="nil"/>
          <w:right w:val="nil"/>
          <w:insideH w:val="nil"/>
          <w:insideV w:val="nil"/>
        </w:tcBorders>
        <w:shd w:val="clear" w:color="auto" w:fill="F1AF1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B200A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200AF"/>
    <w:rPr>
      <w:rFonts w:asciiTheme="majorHAnsi" w:eastAsiaTheme="majorEastAsia" w:hAnsiTheme="majorHAnsi" w:cstheme="majorBidi"/>
      <w:sz w:val="24"/>
      <w:szCs w:val="24"/>
      <w:shd w:val="pct20" w:color="auto" w:fill="auto"/>
      <w:lang w:val="en-AU"/>
    </w:rPr>
  </w:style>
  <w:style w:type="paragraph" w:styleId="NoSpacing">
    <w:name w:val="No Spacing"/>
    <w:uiPriority w:val="19"/>
    <w:semiHidden/>
    <w:qFormat/>
    <w:rsid w:val="00840060"/>
    <w:pPr>
      <w:spacing w:after="0" w:line="240" w:lineRule="auto"/>
    </w:pPr>
    <w:rPr>
      <w:lang w:val="en-AU"/>
    </w:rPr>
  </w:style>
  <w:style w:type="paragraph" w:styleId="NormalWeb">
    <w:name w:val="Normal (Web)"/>
    <w:basedOn w:val="Normal"/>
    <w:uiPriority w:val="99"/>
    <w:semiHidden/>
    <w:unhideWhenUsed/>
    <w:rsid w:val="00B200AF"/>
    <w:rPr>
      <w:rFonts w:ascii="Times New Roman" w:hAnsi="Times New Roman"/>
      <w:sz w:val="24"/>
      <w:szCs w:val="24"/>
    </w:rPr>
  </w:style>
  <w:style w:type="paragraph" w:styleId="NormalIndent">
    <w:name w:val="Normal Indent"/>
    <w:basedOn w:val="Normal"/>
    <w:uiPriority w:val="99"/>
    <w:semiHidden/>
    <w:unhideWhenUsed/>
    <w:rsid w:val="00B200AF"/>
    <w:pPr>
      <w:ind w:left="720"/>
    </w:pPr>
  </w:style>
  <w:style w:type="paragraph" w:styleId="NoteHeading">
    <w:name w:val="Note Heading"/>
    <w:basedOn w:val="Normal"/>
    <w:next w:val="Normal"/>
    <w:link w:val="NoteHeadingChar"/>
    <w:uiPriority w:val="99"/>
    <w:semiHidden/>
    <w:unhideWhenUsed/>
    <w:rsid w:val="00B200AF"/>
    <w:pPr>
      <w:spacing w:after="0"/>
    </w:pPr>
  </w:style>
  <w:style w:type="character" w:customStyle="1" w:styleId="NoteHeadingChar">
    <w:name w:val="Note Heading Char"/>
    <w:basedOn w:val="DefaultParagraphFont"/>
    <w:link w:val="NoteHeading"/>
    <w:uiPriority w:val="99"/>
    <w:semiHidden/>
    <w:rsid w:val="00B200AF"/>
    <w:rPr>
      <w:rFonts w:ascii="Arial" w:hAnsi="Arial"/>
      <w:sz w:val="20"/>
      <w:lang w:val="en-AU"/>
    </w:rPr>
  </w:style>
  <w:style w:type="character" w:styleId="PageNumber">
    <w:name w:val="page number"/>
    <w:uiPriority w:val="19"/>
    <w:semiHidden/>
    <w:rsid w:val="00AF2717"/>
    <w:rPr>
      <w:rFonts w:ascii="Arial" w:hAnsi="Arial"/>
      <w:sz w:val="18"/>
    </w:rPr>
  </w:style>
  <w:style w:type="character" w:styleId="PlaceholderText">
    <w:name w:val="Placeholder Text"/>
    <w:basedOn w:val="DefaultParagraphFont"/>
    <w:uiPriority w:val="99"/>
    <w:semiHidden/>
    <w:rsid w:val="00B200AF"/>
    <w:rPr>
      <w:color w:val="808080"/>
    </w:rPr>
  </w:style>
  <w:style w:type="paragraph" w:styleId="PlainText">
    <w:name w:val="Plain Text"/>
    <w:basedOn w:val="Normal"/>
    <w:link w:val="PlainTextChar"/>
    <w:uiPriority w:val="99"/>
    <w:semiHidden/>
    <w:unhideWhenUsed/>
    <w:rsid w:val="00B200AF"/>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B200AF"/>
    <w:rPr>
      <w:rFonts w:ascii="Consolas" w:hAnsi="Consolas" w:cs="Consolas"/>
      <w:sz w:val="21"/>
      <w:szCs w:val="21"/>
      <w:lang w:val="en-AU"/>
    </w:rPr>
  </w:style>
  <w:style w:type="paragraph" w:styleId="Quote">
    <w:name w:val="Quote"/>
    <w:basedOn w:val="Normal"/>
    <w:next w:val="Normal"/>
    <w:link w:val="QuoteChar"/>
    <w:uiPriority w:val="29"/>
    <w:semiHidden/>
    <w:qFormat/>
    <w:rsid w:val="00840060"/>
    <w:rPr>
      <w:i/>
      <w:iCs/>
      <w:color w:val="9B9795" w:themeColor="text1"/>
      <w:lang w:val="en-AU"/>
    </w:rPr>
  </w:style>
  <w:style w:type="character" w:customStyle="1" w:styleId="QuoteChar">
    <w:name w:val="Quote Char"/>
    <w:basedOn w:val="DefaultParagraphFont"/>
    <w:link w:val="Quote"/>
    <w:uiPriority w:val="29"/>
    <w:semiHidden/>
    <w:rsid w:val="00840060"/>
    <w:rPr>
      <w:i/>
      <w:iCs/>
      <w:color w:val="9B9795" w:themeColor="text1"/>
      <w:lang w:val="en-AU"/>
    </w:rPr>
  </w:style>
  <w:style w:type="paragraph" w:styleId="Salutation">
    <w:name w:val="Salutation"/>
    <w:basedOn w:val="Normal"/>
    <w:next w:val="Normal"/>
    <w:link w:val="SalutationChar"/>
    <w:uiPriority w:val="99"/>
    <w:semiHidden/>
    <w:unhideWhenUsed/>
    <w:rsid w:val="00B200AF"/>
  </w:style>
  <w:style w:type="character" w:customStyle="1" w:styleId="SalutationChar">
    <w:name w:val="Salutation Char"/>
    <w:basedOn w:val="DefaultParagraphFont"/>
    <w:link w:val="Salutation"/>
    <w:uiPriority w:val="99"/>
    <w:semiHidden/>
    <w:rsid w:val="00B200AF"/>
    <w:rPr>
      <w:rFonts w:ascii="Arial" w:hAnsi="Arial"/>
      <w:sz w:val="20"/>
      <w:lang w:val="en-AU"/>
    </w:rPr>
  </w:style>
  <w:style w:type="paragraph" w:styleId="Signature">
    <w:name w:val="Signature"/>
    <w:basedOn w:val="Normal"/>
    <w:link w:val="SignatureChar"/>
    <w:uiPriority w:val="99"/>
    <w:semiHidden/>
    <w:unhideWhenUsed/>
    <w:rsid w:val="00B200AF"/>
    <w:pPr>
      <w:spacing w:after="0"/>
      <w:ind w:left="4252"/>
    </w:pPr>
  </w:style>
  <w:style w:type="character" w:customStyle="1" w:styleId="SignatureChar">
    <w:name w:val="Signature Char"/>
    <w:basedOn w:val="DefaultParagraphFont"/>
    <w:link w:val="Signature"/>
    <w:uiPriority w:val="99"/>
    <w:semiHidden/>
    <w:rsid w:val="00B200AF"/>
    <w:rPr>
      <w:rFonts w:ascii="Arial" w:hAnsi="Arial"/>
      <w:sz w:val="20"/>
      <w:lang w:val="en-AU"/>
    </w:rPr>
  </w:style>
  <w:style w:type="character" w:styleId="Strong">
    <w:name w:val="Strong"/>
    <w:basedOn w:val="DefaultParagraphFont"/>
    <w:uiPriority w:val="22"/>
    <w:semiHidden/>
    <w:qFormat/>
    <w:rsid w:val="00840060"/>
    <w:rPr>
      <w:b/>
      <w:bCs/>
    </w:rPr>
  </w:style>
  <w:style w:type="character" w:styleId="SubtleEmphasis">
    <w:name w:val="Subtle Emphasis"/>
    <w:basedOn w:val="DefaultParagraphFont"/>
    <w:uiPriority w:val="19"/>
    <w:semiHidden/>
    <w:qFormat/>
    <w:rsid w:val="00840060"/>
    <w:rPr>
      <w:i/>
      <w:iCs/>
      <w:color w:val="CDCBCA" w:themeColor="text1" w:themeTint="7F"/>
    </w:rPr>
  </w:style>
  <w:style w:type="character" w:styleId="SubtleReference">
    <w:name w:val="Subtle Reference"/>
    <w:basedOn w:val="DefaultParagraphFont"/>
    <w:uiPriority w:val="31"/>
    <w:semiHidden/>
    <w:qFormat/>
    <w:rsid w:val="00840060"/>
    <w:rPr>
      <w:smallCaps/>
      <w:color w:val="CE7628" w:themeColor="accent2"/>
      <w:u w:val="single"/>
    </w:rPr>
  </w:style>
  <w:style w:type="table" w:styleId="Table3Deffects1">
    <w:name w:val="Table 3D effects 1"/>
    <w:basedOn w:val="TableNormal"/>
    <w:uiPriority w:val="99"/>
    <w:semiHidden/>
    <w:unhideWhenUsed/>
    <w:rsid w:val="00B200AF"/>
    <w:pPr>
      <w:spacing w:after="24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200AF"/>
    <w:pPr>
      <w:spacing w:after="24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200AF"/>
    <w:pPr>
      <w:spacing w:after="24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F2717"/>
    <w:pPr>
      <w:spacing w:after="0" w:line="240" w:lineRule="auto"/>
    </w:pPr>
    <w:rPr>
      <w:rFonts w:ascii="Times New Roman" w:eastAsia="Times New Roman" w:hAnsi="Times New Roman" w:cs="Times New Roman"/>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200AF"/>
    <w:pPr>
      <w:spacing w:after="24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200AF"/>
    <w:pPr>
      <w:spacing w:after="24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200AF"/>
    <w:pPr>
      <w:spacing w:after="24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200AF"/>
    <w:pPr>
      <w:spacing w:after="24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200AF"/>
    <w:pPr>
      <w:spacing w:after="24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200AF"/>
    <w:pPr>
      <w:spacing w:after="24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200AF"/>
    <w:pPr>
      <w:spacing w:after="24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200AF"/>
    <w:pPr>
      <w:spacing w:after="24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200AF"/>
    <w:pPr>
      <w:spacing w:after="24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200AF"/>
    <w:pPr>
      <w:spacing w:after="24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200AF"/>
    <w:pPr>
      <w:spacing w:after="24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200AF"/>
    <w:pPr>
      <w:spacing w:after="24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200AF"/>
    <w:pPr>
      <w:spacing w:after="24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200AF"/>
    <w:pPr>
      <w:spacing w:after="24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200AF"/>
    <w:pPr>
      <w:spacing w:after="24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200AF"/>
    <w:pPr>
      <w:spacing w:after="24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200AF"/>
    <w:pPr>
      <w:spacing w:after="24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200AF"/>
    <w:pPr>
      <w:spacing w:after="24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200AF"/>
    <w:pPr>
      <w:spacing w:after="24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200AF"/>
    <w:pPr>
      <w:spacing w:after="24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200AF"/>
    <w:pPr>
      <w:spacing w:after="24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B200AF"/>
    <w:pPr>
      <w:spacing w:after="24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200AF"/>
    <w:pPr>
      <w:spacing w:after="24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200AF"/>
    <w:pPr>
      <w:spacing w:after="24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200AF"/>
    <w:pPr>
      <w:spacing w:after="24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200AF"/>
    <w:pPr>
      <w:spacing w:after="24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200AF"/>
    <w:pPr>
      <w:spacing w:after="24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200AF"/>
    <w:pPr>
      <w:spacing w:after="24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200AF"/>
    <w:pPr>
      <w:spacing w:after="24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200AF"/>
    <w:pPr>
      <w:spacing w:after="0"/>
      <w:ind w:left="220" w:hanging="220"/>
    </w:pPr>
  </w:style>
  <w:style w:type="paragraph" w:styleId="TableofFigures">
    <w:name w:val="table of figures"/>
    <w:basedOn w:val="Normal"/>
    <w:next w:val="Normal"/>
    <w:uiPriority w:val="99"/>
    <w:semiHidden/>
    <w:unhideWhenUsed/>
    <w:rsid w:val="00B200AF"/>
    <w:pPr>
      <w:spacing w:after="0"/>
    </w:pPr>
  </w:style>
  <w:style w:type="table" w:styleId="TableProfessional">
    <w:name w:val="Table Professional"/>
    <w:basedOn w:val="TableNormal"/>
    <w:uiPriority w:val="99"/>
    <w:semiHidden/>
    <w:unhideWhenUsed/>
    <w:rsid w:val="00B200AF"/>
    <w:pPr>
      <w:spacing w:after="24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200AF"/>
    <w:pPr>
      <w:spacing w:after="24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200AF"/>
    <w:pPr>
      <w:spacing w:after="24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200AF"/>
    <w:pPr>
      <w:spacing w:after="24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200AF"/>
    <w:pPr>
      <w:spacing w:after="24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200AF"/>
    <w:pPr>
      <w:spacing w:after="24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200AF"/>
    <w:pPr>
      <w:spacing w:after="24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200AF"/>
    <w:pPr>
      <w:spacing w:after="24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200AF"/>
    <w:pPr>
      <w:spacing w:after="24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200AF"/>
    <w:pPr>
      <w:spacing w:after="24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B200A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rsid w:val="00281B71"/>
    <w:pPr>
      <w:tabs>
        <w:tab w:val="right" w:pos="9402"/>
      </w:tabs>
      <w:spacing w:before="240" w:after="120"/>
      <w:ind w:left="658"/>
    </w:pPr>
    <w:rPr>
      <w:rFonts w:ascii="Candara" w:hAnsi="Candara"/>
      <w:b/>
      <w:sz w:val="24"/>
      <w:szCs w:val="18"/>
    </w:rPr>
  </w:style>
  <w:style w:type="paragraph" w:styleId="TOC8">
    <w:name w:val="toc 8"/>
    <w:basedOn w:val="Normal"/>
    <w:next w:val="Normal"/>
    <w:autoRedefine/>
    <w:uiPriority w:val="19"/>
    <w:semiHidden/>
    <w:rsid w:val="00AF2717"/>
    <w:pPr>
      <w:ind w:left="1540"/>
    </w:pPr>
    <w:rPr>
      <w:sz w:val="18"/>
      <w:szCs w:val="18"/>
    </w:rPr>
  </w:style>
  <w:style w:type="paragraph" w:styleId="TOC9">
    <w:name w:val="toc 9"/>
    <w:basedOn w:val="Normal"/>
    <w:next w:val="Normal"/>
    <w:autoRedefine/>
    <w:uiPriority w:val="19"/>
    <w:semiHidden/>
    <w:rsid w:val="00AF2717"/>
    <w:pPr>
      <w:ind w:left="1760"/>
    </w:pPr>
    <w:rPr>
      <w:sz w:val="18"/>
      <w:szCs w:val="18"/>
    </w:rPr>
  </w:style>
  <w:style w:type="paragraph" w:customStyle="1" w:styleId="NormalSmall">
    <w:name w:val="NormalSmall"/>
    <w:basedOn w:val="Normal"/>
    <w:next w:val="Normal"/>
    <w:uiPriority w:val="11"/>
    <w:semiHidden/>
    <w:qFormat/>
    <w:rsid w:val="00840060"/>
    <w:pPr>
      <w:widowControl w:val="0"/>
      <w:spacing w:after="0"/>
    </w:pPr>
    <w:rPr>
      <w:sz w:val="6"/>
      <w:szCs w:val="6"/>
    </w:rPr>
  </w:style>
  <w:style w:type="paragraph" w:customStyle="1" w:styleId="AppendixFigureTitle">
    <w:name w:val="Appendix FigureTitle"/>
    <w:basedOn w:val="FigureTitle"/>
    <w:uiPriority w:val="20"/>
    <w:qFormat/>
    <w:rsid w:val="00A606FC"/>
    <w:pPr>
      <w:numPr>
        <w:ilvl w:val="3"/>
        <w:numId w:val="26"/>
      </w:numPr>
    </w:pPr>
  </w:style>
  <w:style w:type="paragraph" w:customStyle="1" w:styleId="AppendixHeading5">
    <w:name w:val="Appendix Heading 5"/>
    <w:basedOn w:val="Normal"/>
    <w:uiPriority w:val="18"/>
    <w:qFormat/>
    <w:rsid w:val="00A606FC"/>
    <w:pPr>
      <w:numPr>
        <w:ilvl w:val="1"/>
        <w:numId w:val="26"/>
      </w:numPr>
    </w:pPr>
  </w:style>
  <w:style w:type="paragraph" w:customStyle="1" w:styleId="AppendixTableTitle">
    <w:name w:val="Appendix TableTitle"/>
    <w:basedOn w:val="TableTitle"/>
    <w:uiPriority w:val="19"/>
    <w:qFormat/>
    <w:rsid w:val="00A606FC"/>
    <w:pPr>
      <w:numPr>
        <w:ilvl w:val="2"/>
        <w:numId w:val="26"/>
      </w:numPr>
    </w:pPr>
  </w:style>
  <w:style w:type="paragraph" w:customStyle="1" w:styleId="Bullets">
    <w:name w:val="Bullets"/>
    <w:basedOn w:val="BodyText0"/>
    <w:uiPriority w:val="19"/>
    <w:semiHidden/>
    <w:rsid w:val="00AF2717"/>
    <w:pPr>
      <w:numPr>
        <w:numId w:val="14"/>
      </w:numPr>
      <w:tabs>
        <w:tab w:val="left" w:pos="648"/>
      </w:tabs>
      <w:spacing w:after="360"/>
    </w:pPr>
    <w:rPr>
      <w:rFonts w:ascii="Garamond" w:hAnsi="Garamond" w:cs="Times New Roman"/>
      <w:b w:val="0"/>
      <w:bCs w:val="0"/>
      <w:sz w:val="24"/>
    </w:rPr>
  </w:style>
  <w:style w:type="paragraph" w:customStyle="1" w:styleId="TableText">
    <w:name w:val="Table Text"/>
    <w:link w:val="TableTextCharChar"/>
    <w:uiPriority w:val="12"/>
    <w:rsid w:val="00FF2B83"/>
    <w:pPr>
      <w:spacing w:after="0" w:line="240" w:lineRule="auto"/>
      <w:ind w:left="85" w:right="85"/>
    </w:pPr>
    <w:rPr>
      <w:rFonts w:ascii="Calibri" w:eastAsia="Times New Roman" w:hAnsi="Calibri" w:cs="Times New Roman"/>
      <w:color w:val="000000"/>
    </w:rPr>
  </w:style>
  <w:style w:type="character" w:customStyle="1" w:styleId="TableTextCharChar">
    <w:name w:val="Table Text Char Char"/>
    <w:link w:val="TableText"/>
    <w:uiPriority w:val="12"/>
    <w:rsid w:val="006B5418"/>
    <w:rPr>
      <w:rFonts w:ascii="Calibri" w:eastAsia="Times New Roman" w:hAnsi="Calibri" w:cs="Times New Roman"/>
      <w:color w:val="000000"/>
    </w:rPr>
  </w:style>
  <w:style w:type="paragraph" w:customStyle="1" w:styleId="Default">
    <w:name w:val="Default"/>
    <w:uiPriority w:val="19"/>
    <w:semiHidden/>
    <w:rsid w:val="00AF2717"/>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customStyle="1" w:styleId="DocSubTitle">
    <w:name w:val="DocSubTitle"/>
    <w:basedOn w:val="Normal"/>
    <w:uiPriority w:val="19"/>
    <w:semiHidden/>
    <w:qFormat/>
    <w:rsid w:val="00382185"/>
    <w:pPr>
      <w:spacing w:after="0"/>
      <w:jc w:val="center"/>
    </w:pPr>
    <w:rPr>
      <w:rFonts w:ascii="Candara" w:hAnsi="Candara"/>
      <w:color w:val="75706E" w:themeColor="text1" w:themeShade="BF"/>
      <w:sz w:val="36"/>
    </w:rPr>
  </w:style>
  <w:style w:type="paragraph" w:customStyle="1" w:styleId="DocTitle">
    <w:name w:val="DocTitle"/>
    <w:basedOn w:val="Normal"/>
    <w:uiPriority w:val="19"/>
    <w:semiHidden/>
    <w:qFormat/>
    <w:rsid w:val="00365395"/>
    <w:pPr>
      <w:spacing w:after="0"/>
      <w:jc w:val="center"/>
    </w:pPr>
    <w:rPr>
      <w:rFonts w:ascii="Tahoma" w:hAnsi="Tahoma"/>
      <w:color w:val="75706E" w:themeColor="text1" w:themeShade="BF"/>
      <w:sz w:val="36"/>
    </w:rPr>
  </w:style>
  <w:style w:type="paragraph" w:customStyle="1" w:styleId="ExecSumm1">
    <w:name w:val="Exec Summ 1"/>
    <w:basedOn w:val="Heading1"/>
    <w:next w:val="ExecSummPara"/>
    <w:uiPriority w:val="19"/>
    <w:rsid w:val="0067266A"/>
    <w:pPr>
      <w:numPr>
        <w:numId w:val="0"/>
      </w:numPr>
      <w:ind w:left="680"/>
    </w:pPr>
  </w:style>
  <w:style w:type="paragraph" w:customStyle="1" w:styleId="ExecSumm2">
    <w:name w:val="Exec Summ 2"/>
    <w:basedOn w:val="Heading2"/>
    <w:next w:val="ExecSummPara"/>
    <w:uiPriority w:val="19"/>
    <w:rsid w:val="0067266A"/>
    <w:rPr>
      <w:bCs w:val="0"/>
      <w:iCs w:val="0"/>
    </w:rPr>
  </w:style>
  <w:style w:type="paragraph" w:customStyle="1" w:styleId="Execsummbullet">
    <w:name w:val="Exec summ bullet"/>
    <w:basedOn w:val="Normal"/>
    <w:uiPriority w:val="19"/>
    <w:semiHidden/>
    <w:rsid w:val="005A1BA9"/>
    <w:pPr>
      <w:numPr>
        <w:ilvl w:val="1"/>
        <w:numId w:val="34"/>
      </w:numPr>
      <w:spacing w:line="280" w:lineRule="atLeast"/>
    </w:pPr>
  </w:style>
  <w:style w:type="paragraph" w:customStyle="1" w:styleId="ExecSummPara">
    <w:name w:val="Exec Summ Para"/>
    <w:basedOn w:val="Normal"/>
    <w:uiPriority w:val="19"/>
    <w:semiHidden/>
    <w:rsid w:val="005A1BA9"/>
    <w:pPr>
      <w:numPr>
        <w:numId w:val="34"/>
      </w:numPr>
    </w:pPr>
  </w:style>
  <w:style w:type="paragraph" w:customStyle="1" w:styleId="FooterInfo">
    <w:name w:val="FooterInfo"/>
    <w:basedOn w:val="Footer"/>
    <w:uiPriority w:val="19"/>
    <w:semiHidden/>
    <w:qFormat/>
    <w:rsid w:val="00AF2717"/>
    <w:pPr>
      <w:spacing w:line="240" w:lineRule="auto"/>
      <w:jc w:val="left"/>
    </w:pPr>
    <w:rPr>
      <w:sz w:val="18"/>
    </w:rPr>
  </w:style>
  <w:style w:type="numbering" w:customStyle="1" w:styleId="NumbLstExecSumm">
    <w:name w:val="NumbLstExecSumm"/>
    <w:uiPriority w:val="99"/>
    <w:rsid w:val="001015E8"/>
    <w:pPr>
      <w:numPr>
        <w:numId w:val="21"/>
      </w:numPr>
    </w:pPr>
  </w:style>
  <w:style w:type="paragraph" w:customStyle="1" w:styleId="Heading5NoNumb">
    <w:name w:val="Heading 5NoNumb"/>
    <w:basedOn w:val="Heading5"/>
    <w:uiPriority w:val="20"/>
    <w:qFormat/>
    <w:rsid w:val="00AF2717"/>
    <w:pPr>
      <w:numPr>
        <w:ilvl w:val="0"/>
        <w:numId w:val="0"/>
      </w:numPr>
      <w:ind w:left="680"/>
    </w:pPr>
  </w:style>
  <w:style w:type="paragraph" w:customStyle="1" w:styleId="Level1subhead">
    <w:name w:val="Level 1 subhead"/>
    <w:basedOn w:val="Normal"/>
    <w:next w:val="Heading2"/>
    <w:uiPriority w:val="19"/>
    <w:semiHidden/>
    <w:rsid w:val="00AF2717"/>
    <w:pPr>
      <w:widowControl w:val="0"/>
      <w:spacing w:after="360"/>
    </w:pPr>
    <w:rPr>
      <w:rFonts w:ascii="Arial" w:hAnsi="Arial"/>
      <w:b/>
    </w:rPr>
  </w:style>
  <w:style w:type="numbering" w:customStyle="1" w:styleId="NumbLstAppendix">
    <w:name w:val="NumbLstAppendix"/>
    <w:uiPriority w:val="99"/>
    <w:rsid w:val="00A606FC"/>
    <w:pPr>
      <w:numPr>
        <w:numId w:val="15"/>
      </w:numPr>
    </w:pPr>
  </w:style>
  <w:style w:type="numbering" w:customStyle="1" w:styleId="NumbLstBullets">
    <w:name w:val="NumbLstBullets"/>
    <w:uiPriority w:val="99"/>
    <w:rsid w:val="00F23A76"/>
    <w:pPr>
      <w:numPr>
        <w:numId w:val="16"/>
      </w:numPr>
    </w:pPr>
  </w:style>
  <w:style w:type="numbering" w:customStyle="1" w:styleId="NumbLstKeyMess">
    <w:name w:val="NumbLstKeyMess"/>
    <w:uiPriority w:val="99"/>
    <w:rsid w:val="00AF2717"/>
    <w:pPr>
      <w:numPr>
        <w:numId w:val="17"/>
      </w:numPr>
    </w:pPr>
  </w:style>
  <w:style w:type="table" w:customStyle="1" w:styleId="RegenerisTable">
    <w:name w:val="Regeneris Table"/>
    <w:basedOn w:val="TableNormal"/>
    <w:rsid w:val="00AF2717"/>
    <w:pPr>
      <w:spacing w:after="0" w:line="240" w:lineRule="auto"/>
    </w:pPr>
    <w:rPr>
      <w:rFonts w:ascii="Calibri" w:eastAsia="Times New Roman" w:hAnsi="Calibri" w:cs="Times New Roman"/>
      <w:lang w:eastAsia="en-GB"/>
    </w:rPr>
    <w:tblPr>
      <w:tblInd w:w="754" w:type="dxa"/>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CellMar>
        <w:left w:w="34" w:type="dxa"/>
      </w:tblCellMar>
    </w:tblPr>
    <w:tblStylePr w:type="firstRow">
      <w:rPr>
        <w:color w:val="auto"/>
      </w:rPr>
      <w:tblPr/>
      <w:tcPr>
        <w:tcBorders>
          <w:top w:val="single" w:sz="8" w:space="0" w:color="FF9900"/>
          <w:left w:val="single" w:sz="8" w:space="0" w:color="FF9900"/>
          <w:bottom w:val="single" w:sz="8" w:space="0" w:color="FF9900"/>
          <w:right w:val="single" w:sz="8" w:space="0" w:color="FF9900"/>
          <w:insideH w:val="single" w:sz="8" w:space="0" w:color="FF9900"/>
          <w:insideV w:val="single" w:sz="8" w:space="0" w:color="FF9900"/>
          <w:tl2br w:val="nil"/>
          <w:tr2bl w:val="nil"/>
        </w:tcBorders>
        <w:shd w:val="clear" w:color="auto" w:fill="E6E6E6"/>
      </w:tcPr>
    </w:tblStylePr>
  </w:style>
  <w:style w:type="paragraph" w:customStyle="1" w:styleId="Subheading">
    <w:name w:val="Sub heading"/>
    <w:next w:val="Heading2"/>
    <w:uiPriority w:val="19"/>
    <w:semiHidden/>
    <w:rsid w:val="00AF2717"/>
    <w:pPr>
      <w:keepNext/>
      <w:overflowPunct w:val="0"/>
      <w:autoSpaceDE w:val="0"/>
      <w:autoSpaceDN w:val="0"/>
      <w:adjustRightInd w:val="0"/>
      <w:spacing w:before="120" w:after="120" w:line="360" w:lineRule="auto"/>
      <w:ind w:left="720"/>
      <w:jc w:val="both"/>
      <w:textAlignment w:val="baseline"/>
    </w:pPr>
    <w:rPr>
      <w:rFonts w:eastAsia="Times New Roman" w:cs="Times New Roman"/>
      <w:b/>
      <w:sz w:val="22"/>
    </w:rPr>
  </w:style>
  <w:style w:type="paragraph" w:customStyle="1" w:styleId="TableHeading">
    <w:name w:val="Table Heading"/>
    <w:basedOn w:val="TableText"/>
    <w:uiPriority w:val="12"/>
    <w:qFormat/>
    <w:rsid w:val="00AF2717"/>
    <w:pPr>
      <w:jc w:val="center"/>
    </w:pPr>
  </w:style>
  <w:style w:type="paragraph" w:customStyle="1" w:styleId="TableorGraphic">
    <w:name w:val="Table or Graphic"/>
    <w:basedOn w:val="Normal"/>
    <w:uiPriority w:val="19"/>
    <w:semiHidden/>
    <w:rsid w:val="00AF2717"/>
    <w:pPr>
      <w:keepNext/>
      <w:spacing w:before="60" w:after="60"/>
    </w:pPr>
    <w:rPr>
      <w:rFonts w:ascii="Arial" w:hAnsi="Arial"/>
      <w:sz w:val="18"/>
    </w:rPr>
  </w:style>
  <w:style w:type="paragraph" w:customStyle="1" w:styleId="TableSource">
    <w:name w:val="Table Source"/>
    <w:basedOn w:val="FigureSource"/>
    <w:uiPriority w:val="13"/>
    <w:qFormat/>
    <w:rsid w:val="00B64A5D"/>
    <w:pPr>
      <w:spacing w:after="240"/>
      <w:ind w:left="765"/>
    </w:pPr>
    <w:rPr>
      <w:sz w:val="18"/>
    </w:rPr>
  </w:style>
  <w:style w:type="paragraph" w:customStyle="1" w:styleId="TableTitleInTable">
    <w:name w:val="Table TitleInTable"/>
    <w:basedOn w:val="TableTitle"/>
    <w:uiPriority w:val="19"/>
    <w:qFormat/>
    <w:rsid w:val="005412E4"/>
    <w:pPr>
      <w:numPr>
        <w:ilvl w:val="0"/>
        <w:numId w:val="0"/>
      </w:numPr>
      <w:pBdr>
        <w:top w:val="none" w:sz="0" w:space="0" w:color="auto"/>
        <w:bottom w:val="none" w:sz="0" w:space="0" w:color="auto"/>
      </w:pBdr>
      <w:shd w:val="clear" w:color="auto" w:fill="auto"/>
      <w:spacing w:before="40" w:after="40"/>
      <w:ind w:left="57" w:right="0"/>
    </w:pPr>
  </w:style>
  <w:style w:type="paragraph" w:customStyle="1" w:styleId="TextBox">
    <w:name w:val="Text Box"/>
    <w:basedOn w:val="Normal"/>
    <w:uiPriority w:val="19"/>
    <w:semiHidden/>
    <w:rsid w:val="00AF2717"/>
    <w:pPr>
      <w:pBdr>
        <w:top w:val="single" w:sz="8" w:space="1" w:color="FF9900"/>
        <w:left w:val="single" w:sz="8" w:space="0" w:color="FF9900"/>
        <w:bottom w:val="single" w:sz="8" w:space="1" w:color="FF9900"/>
        <w:right w:val="single" w:sz="8" w:space="4" w:color="FF9900"/>
      </w:pBdr>
      <w:shd w:val="clear" w:color="auto" w:fill="E6E6E6"/>
      <w:ind w:left="755"/>
    </w:pPr>
    <w:rPr>
      <w:bCs/>
    </w:rPr>
  </w:style>
  <w:style w:type="table" w:customStyle="1" w:styleId="TableGridLight1">
    <w:name w:val="Table Grid Light1"/>
    <w:basedOn w:val="TableNormal"/>
    <w:uiPriority w:val="40"/>
    <w:rsid w:val="006220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cDate">
    <w:name w:val="DocDate"/>
    <w:basedOn w:val="DocTitle"/>
    <w:uiPriority w:val="19"/>
    <w:semiHidden/>
    <w:qFormat/>
    <w:rsid w:val="00284A93"/>
    <w:rPr>
      <w:noProof/>
      <w:sz w:val="24"/>
      <w:lang w:eastAsia="en-GB"/>
    </w:rPr>
  </w:style>
  <w:style w:type="paragraph" w:customStyle="1" w:styleId="DocWeb">
    <w:name w:val="DocWeb"/>
    <w:basedOn w:val="DocDate"/>
    <w:uiPriority w:val="19"/>
    <w:semiHidden/>
    <w:qFormat/>
    <w:rsid w:val="00284A93"/>
    <w:rPr>
      <w:color w:val="CE7628"/>
    </w:rPr>
  </w:style>
  <w:style w:type="paragraph" w:customStyle="1" w:styleId="TableNumber">
    <w:name w:val="Table Number"/>
    <w:basedOn w:val="TableText"/>
    <w:uiPriority w:val="13"/>
    <w:qFormat/>
    <w:rsid w:val="00430CF2"/>
    <w:pPr>
      <w:ind w:right="284"/>
      <w:jc w:val="right"/>
    </w:pPr>
  </w:style>
  <w:style w:type="paragraph" w:customStyle="1" w:styleId="TableNumberNeg">
    <w:name w:val="Table Number Neg"/>
    <w:basedOn w:val="TableNumber"/>
    <w:uiPriority w:val="13"/>
    <w:qFormat/>
    <w:rsid w:val="00430CF2"/>
    <w:pPr>
      <w:ind w:right="215"/>
    </w:pPr>
  </w:style>
  <w:style w:type="paragraph" w:customStyle="1" w:styleId="Source">
    <w:name w:val="Source"/>
    <w:basedOn w:val="Normal"/>
    <w:uiPriority w:val="19"/>
    <w:semiHidden/>
    <w:qFormat/>
    <w:rsid w:val="005412E4"/>
    <w:pPr>
      <w:spacing w:before="60" w:after="120"/>
      <w:ind w:left="57"/>
      <w:jc w:val="left"/>
    </w:pPr>
    <w:rPr>
      <w:rFonts w:cs="Arial"/>
      <w:color w:val="000000"/>
      <w:sz w:val="16"/>
      <w:szCs w:val="16"/>
    </w:rPr>
  </w:style>
  <w:style w:type="paragraph" w:customStyle="1" w:styleId="DocBPText">
    <w:name w:val="DocBPText"/>
    <w:basedOn w:val="Normal"/>
    <w:uiPriority w:val="21"/>
    <w:semiHidden/>
    <w:qFormat/>
    <w:rsid w:val="00461970"/>
    <w:pPr>
      <w:spacing w:after="120"/>
      <w:contextualSpacing/>
    </w:pPr>
    <w:rPr>
      <w:lang w:eastAsia="en-GB"/>
    </w:rPr>
  </w:style>
  <w:style w:type="paragraph" w:customStyle="1" w:styleId="DocBPTitle">
    <w:name w:val="DocBPTitle"/>
    <w:basedOn w:val="DocBPText"/>
    <w:uiPriority w:val="21"/>
    <w:semiHidden/>
    <w:qFormat/>
    <w:rsid w:val="00461970"/>
    <w:pPr>
      <w:spacing w:after="0"/>
    </w:pPr>
    <w:rPr>
      <w:b/>
      <w:color w:val="CE7628"/>
    </w:rPr>
  </w:style>
  <w:style w:type="paragraph" w:customStyle="1" w:styleId="FooterAppPgNo">
    <w:name w:val="FooterAppPgNo"/>
    <w:basedOn w:val="Footer"/>
    <w:uiPriority w:val="29"/>
    <w:semiHidden/>
    <w:qFormat/>
    <w:rsid w:val="00F127BA"/>
    <w:pPr>
      <w:ind w:left="-1418"/>
    </w:pPr>
    <w:rPr>
      <w:noProof/>
      <w:lang w:eastAsia="en-GB"/>
    </w:rPr>
  </w:style>
  <w:style w:type="paragraph" w:customStyle="1" w:styleId="FooterAppPgNoLand">
    <w:name w:val="FooterAppPgNoLand"/>
    <w:basedOn w:val="FooterAppPgNo"/>
    <w:uiPriority w:val="29"/>
    <w:semiHidden/>
    <w:qFormat/>
    <w:rsid w:val="00F821EE"/>
    <w:pPr>
      <w:ind w:left="-1928"/>
    </w:pPr>
  </w:style>
  <w:style w:type="paragraph" w:customStyle="1" w:styleId="TableBullet">
    <w:name w:val="Table Bullet"/>
    <w:basedOn w:val="TableText"/>
    <w:uiPriority w:val="13"/>
    <w:qFormat/>
    <w:rsid w:val="00430CF2"/>
    <w:pPr>
      <w:numPr>
        <w:numId w:val="23"/>
      </w:numPr>
    </w:pPr>
  </w:style>
  <w:style w:type="numbering" w:customStyle="1" w:styleId="NumbLstTable">
    <w:name w:val="NumbLstTable"/>
    <w:uiPriority w:val="99"/>
    <w:rsid w:val="00430CF2"/>
    <w:pPr>
      <w:numPr>
        <w:numId w:val="22"/>
      </w:numPr>
    </w:pPr>
  </w:style>
  <w:style w:type="paragraph" w:customStyle="1" w:styleId="ExecSummTableTitle">
    <w:name w:val="Exec Summ Table Title"/>
    <w:basedOn w:val="TableTitle"/>
    <w:next w:val="ExecSummPara"/>
    <w:uiPriority w:val="19"/>
    <w:qFormat/>
    <w:rsid w:val="005A1BA9"/>
    <w:pPr>
      <w:numPr>
        <w:ilvl w:val="2"/>
        <w:numId w:val="34"/>
      </w:numPr>
    </w:pPr>
  </w:style>
  <w:style w:type="paragraph" w:customStyle="1" w:styleId="NormalFigures">
    <w:name w:val="NormalFigures"/>
    <w:basedOn w:val="NormalNoSpace"/>
    <w:uiPriority w:val="19"/>
    <w:qFormat/>
    <w:rsid w:val="008B170E"/>
    <w:pPr>
      <w:keepNext/>
      <w:spacing w:before="120" w:after="120"/>
    </w:pPr>
    <w:rPr>
      <w:lang w:eastAsia="en-GB"/>
    </w:rPr>
  </w:style>
  <w:style w:type="table" w:customStyle="1" w:styleId="TableGrid10">
    <w:name w:val="Table Grid1"/>
    <w:basedOn w:val="TableNormal"/>
    <w:next w:val="TableGrid"/>
    <w:uiPriority w:val="59"/>
    <w:rsid w:val="00CE3713"/>
    <w:pPr>
      <w:spacing w:after="0" w:line="240" w:lineRule="auto"/>
    </w:pPr>
    <w:rPr>
      <w:rFonts w:eastAsia="Calibri" w:cs="Times New Roman"/>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Main1">
    <w:name w:val="NumbLstMain1"/>
    <w:uiPriority w:val="99"/>
    <w:rsid w:val="00AC5BE0"/>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9" w:unhideWhenUsed="0" w:qFormat="1"/>
    <w:lsdException w:name="heading 1" w:semiHidden="0" w:uiPriority="0" w:unhideWhenUsed="0" w:qFormat="1"/>
    <w:lsdException w:name="heading 2" w:uiPriority="2" w:qFormat="1"/>
    <w:lsdException w:name="heading 3" w:uiPriority="2"/>
    <w:lsdException w:name="heading 4" w:uiPriority="2" w:qFormat="1"/>
    <w:lsdException w:name="heading 5" w:uiPriority="1" w:qFormat="1"/>
    <w:lsdException w:name="heading 6" w:uiPriority="5" w:qFormat="1"/>
    <w:lsdException w:name="heading 7" w:uiPriority="5" w:qFormat="1"/>
    <w:lsdException w:name="heading 8" w:uiPriority="5" w:qFormat="1"/>
    <w:lsdException w:name="heading 9" w:uiPriority="3" w:qFormat="1"/>
    <w:lsdException w:name="toc 1" w:uiPriority="39"/>
    <w:lsdException w:name="toc 2" w:uiPriority="39"/>
    <w:lsdException w:name="toc 3" w:uiPriority="39"/>
    <w:lsdException w:name="toc 4" w:uiPriority="39" w:unhideWhenUsed="0"/>
    <w:lsdException w:name="toc 5" w:uiPriority="39"/>
    <w:lsdException w:name="toc 6" w:uiPriority="19"/>
    <w:lsdException w:name="toc 7" w:uiPriority="19"/>
    <w:lsdException w:name="toc 8" w:uiPriority="19" w:unhideWhenUsed="0"/>
    <w:lsdException w:name="toc 9" w:uiPriority="19" w:unhideWhenUsed="0"/>
    <w:lsdException w:name="footnote text" w:uiPriority="19"/>
    <w:lsdException w:name="annotation text" w:uiPriority="19"/>
    <w:lsdException w:name="header" w:uiPriority="19"/>
    <w:lsdException w:name="caption" w:uiPriority="19" w:unhideWhenUsed="0" w:qFormat="1"/>
    <w:lsdException w:name="footnote reference" w:uiPriority="19"/>
    <w:lsdException w:name="annotation reference" w:uiPriority="19" w:unhideWhenUsed="0"/>
    <w:lsdException w:name="page number" w:uiPriority="19"/>
    <w:lsdException w:name="toa heading" w:unhideWhenUsed="0"/>
    <w:lsdException w:name="Title" w:semiHidden="0" w:uiPriority="19" w:unhideWhenUsed="0" w:qFormat="1"/>
    <w:lsdException w:name="Default Paragraph Font" w:uiPriority="1"/>
    <w:lsdException w:name="Body Text" w:uiPriority="19"/>
    <w:lsdException w:name="Body Text Indent" w:uiPriority="19"/>
    <w:lsdException w:name="Subtitle" w:semiHidden="0" w:uiPriority="19" w:unhideWhenUsed="0" w:qFormat="1"/>
    <w:lsdException w:name="Body Text 2" w:uiPriority="19"/>
    <w:lsdException w:name="Body Text 3" w:uiPriority="19"/>
    <w:lsdException w:name="Body Text Indent 2" w:uiPriority="19"/>
    <w:lsdException w:name="Body Text Indent 3" w:uiPriority="19"/>
    <w:lsdException w:name="FollowedHyperlink" w:unhideWhenUsed="0"/>
    <w:lsdException w:name="Strong" w:semiHidden="0" w:uiPriority="22" w:unhideWhenUsed="0" w:qFormat="1"/>
    <w:lsdException w:name="Emphasis" w:semiHidden="0" w:uiPriority="20" w:unhideWhenUsed="0" w:qFormat="1"/>
    <w:lsdException w:name="annotation subject" w:uiPriority="19" w:unhideWhenUsed="0"/>
    <w:lsdException w:name="Table Classic 1" w:uiPriority="0"/>
    <w:lsdException w:name="Balloon Text" w:uiPriority="19"/>
    <w:lsdException w:name="Table Grid" w:semiHidden="0" w:uiPriority="59" w:unhideWhenUsed="0"/>
    <w:lsdException w:name="Placeholder Text" w:unhideWhenUsed="0"/>
    <w:lsdException w:name="No Spacing" w:semiHidden="0" w:uiPriority="1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9"/>
    <w:qFormat/>
    <w:rsid w:val="00EA2705"/>
    <w:pPr>
      <w:spacing w:after="240" w:line="240" w:lineRule="auto"/>
      <w:jc w:val="both"/>
    </w:pPr>
    <w:rPr>
      <w:rFonts w:ascii="Calibri" w:eastAsia="Times New Roman" w:hAnsi="Calibri" w:cs="Times New Roman"/>
      <w:sz w:val="22"/>
    </w:rPr>
  </w:style>
  <w:style w:type="paragraph" w:styleId="Heading1">
    <w:name w:val="heading 1"/>
    <w:aliases w:val="Chapter Heading"/>
    <w:next w:val="Heading5"/>
    <w:link w:val="Heading1Char"/>
    <w:qFormat/>
    <w:rsid w:val="00EA2705"/>
    <w:pPr>
      <w:keepNext/>
      <w:numPr>
        <w:numId w:val="25"/>
      </w:numPr>
      <w:spacing w:before="360" w:after="240" w:line="240" w:lineRule="auto"/>
      <w:outlineLvl w:val="0"/>
    </w:pPr>
    <w:rPr>
      <w:rFonts w:ascii="Century Gothic" w:eastAsia="Times New Roman" w:hAnsi="Century Gothic" w:cs="Times New Roman"/>
      <w:b/>
      <w:color w:val="6B004B"/>
      <w:sz w:val="44"/>
      <w:szCs w:val="44"/>
    </w:rPr>
  </w:style>
  <w:style w:type="paragraph" w:styleId="Heading2">
    <w:name w:val="heading 2"/>
    <w:aliases w:val="Sub Head 1"/>
    <w:basedOn w:val="Heading4"/>
    <w:next w:val="Heading5"/>
    <w:link w:val="Heading2Char"/>
    <w:uiPriority w:val="2"/>
    <w:qFormat/>
    <w:rsid w:val="00EA2705"/>
    <w:pPr>
      <w:outlineLvl w:val="1"/>
    </w:pPr>
    <w:rPr>
      <w:rFonts w:ascii="Century Gothic" w:hAnsi="Century Gothic"/>
      <w:b/>
      <w:sz w:val="28"/>
    </w:rPr>
  </w:style>
  <w:style w:type="paragraph" w:styleId="Heading3">
    <w:name w:val="heading 3"/>
    <w:aliases w:val="Sub Head 2"/>
    <w:basedOn w:val="Normal"/>
    <w:next w:val="Heading5"/>
    <w:link w:val="Heading3Char"/>
    <w:uiPriority w:val="2"/>
    <w:rsid w:val="00B12C6C"/>
    <w:pPr>
      <w:keepNext/>
      <w:numPr>
        <w:ilvl w:val="3"/>
      </w:numPr>
      <w:spacing w:before="240"/>
      <w:ind w:left="680"/>
      <w:jc w:val="left"/>
      <w:outlineLvl w:val="2"/>
    </w:pPr>
    <w:rPr>
      <w:rFonts w:ascii="Candara" w:hAnsi="Candara"/>
      <w:b/>
      <w:bCs/>
      <w:iCs/>
      <w:color w:val="008080"/>
      <w:sz w:val="24"/>
      <w:szCs w:val="28"/>
    </w:rPr>
  </w:style>
  <w:style w:type="paragraph" w:styleId="Heading4">
    <w:name w:val="heading 4"/>
    <w:aliases w:val="Subhead 3"/>
    <w:basedOn w:val="Heading3"/>
    <w:next w:val="Heading5"/>
    <w:link w:val="Heading4Char"/>
    <w:uiPriority w:val="2"/>
    <w:qFormat/>
    <w:rsid w:val="00885B83"/>
    <w:pPr>
      <w:outlineLvl w:val="3"/>
    </w:pPr>
    <w:rPr>
      <w:b w:val="0"/>
      <w:i/>
      <w:color w:val="6B004B"/>
    </w:rPr>
  </w:style>
  <w:style w:type="paragraph" w:styleId="Heading5">
    <w:name w:val="heading 5"/>
    <w:aliases w:val="Paragraph Text"/>
    <w:basedOn w:val="Heading1"/>
    <w:link w:val="Heading5Char"/>
    <w:uiPriority w:val="1"/>
    <w:qFormat/>
    <w:rsid w:val="00D47CCA"/>
    <w:pPr>
      <w:keepNext w:val="0"/>
      <w:numPr>
        <w:ilvl w:val="4"/>
      </w:numPr>
      <w:tabs>
        <w:tab w:val="clear" w:pos="1106"/>
        <w:tab w:val="num" w:pos="680"/>
      </w:tabs>
      <w:spacing w:before="120" w:after="120" w:line="280" w:lineRule="atLeast"/>
      <w:ind w:left="680"/>
      <w:jc w:val="both"/>
      <w:outlineLvl w:val="4"/>
    </w:pPr>
    <w:rPr>
      <w:b w:val="0"/>
      <w:color w:val="auto"/>
      <w:sz w:val="20"/>
    </w:rPr>
  </w:style>
  <w:style w:type="paragraph" w:styleId="Heading6">
    <w:name w:val="heading 6"/>
    <w:aliases w:val="level 1 bullet 1"/>
    <w:basedOn w:val="Heading5"/>
    <w:link w:val="Heading6Char"/>
    <w:uiPriority w:val="5"/>
    <w:qFormat/>
    <w:rsid w:val="00A50D95"/>
    <w:pPr>
      <w:numPr>
        <w:ilvl w:val="0"/>
        <w:numId w:val="0"/>
      </w:numPr>
      <w:tabs>
        <w:tab w:val="num" w:pos="1361"/>
      </w:tabs>
      <w:ind w:left="1361" w:hanging="681"/>
      <w:outlineLvl w:val="5"/>
    </w:pPr>
  </w:style>
  <w:style w:type="paragraph" w:styleId="Heading7">
    <w:name w:val="heading 7"/>
    <w:aliases w:val="Bullet 2"/>
    <w:link w:val="Heading7Char"/>
    <w:uiPriority w:val="5"/>
    <w:qFormat/>
    <w:rsid w:val="00E93FD0"/>
    <w:pPr>
      <w:numPr>
        <w:numId w:val="40"/>
      </w:numPr>
      <w:spacing w:before="120" w:after="120" w:line="280" w:lineRule="atLeast"/>
      <w:jc w:val="both"/>
      <w:outlineLvl w:val="6"/>
    </w:pPr>
    <w:rPr>
      <w:rFonts w:ascii="Century Gothic" w:eastAsia="Times New Roman" w:hAnsi="Century Gothic" w:cs="Times New Roman"/>
    </w:rPr>
  </w:style>
  <w:style w:type="paragraph" w:styleId="Heading8">
    <w:name w:val="heading 8"/>
    <w:aliases w:val="Bullet 3"/>
    <w:link w:val="Heading8Char"/>
    <w:uiPriority w:val="5"/>
    <w:qFormat/>
    <w:rsid w:val="00A606FC"/>
    <w:pPr>
      <w:numPr>
        <w:ilvl w:val="7"/>
        <w:numId w:val="25"/>
      </w:numPr>
      <w:spacing w:before="180" w:after="180" w:line="240" w:lineRule="auto"/>
      <w:outlineLvl w:val="7"/>
    </w:pPr>
    <w:rPr>
      <w:rFonts w:ascii="Calibri" w:eastAsia="Times New Roman" w:hAnsi="Calibri" w:cs="Times New Roman"/>
      <w:sz w:val="22"/>
      <w:szCs w:val="44"/>
    </w:rPr>
  </w:style>
  <w:style w:type="paragraph" w:styleId="Heading9">
    <w:name w:val="heading 9"/>
    <w:aliases w:val="Bullet Heading"/>
    <w:basedOn w:val="Normal"/>
    <w:next w:val="Heading6"/>
    <w:link w:val="Heading9Char"/>
    <w:uiPriority w:val="3"/>
    <w:qFormat/>
    <w:rsid w:val="00A606FC"/>
    <w:pPr>
      <w:numPr>
        <w:ilvl w:val="8"/>
        <w:numId w:val="25"/>
      </w:numPr>
      <w:spacing w:before="240" w:after="120" w:line="280" w:lineRule="atLeast"/>
      <w:outlineLvl w:val="8"/>
    </w:pPr>
    <w:rPr>
      <w:rFonts w:ascii="Candara" w:hAnsi="Candara"/>
      <w: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
    <w:basedOn w:val="DefaultParagraphFont"/>
    <w:link w:val="Heading1"/>
    <w:rsid w:val="00EA2705"/>
    <w:rPr>
      <w:rFonts w:ascii="Century Gothic" w:eastAsia="Times New Roman" w:hAnsi="Century Gothic" w:cs="Times New Roman"/>
      <w:b/>
      <w:color w:val="6B004B"/>
      <w:sz w:val="44"/>
      <w:szCs w:val="44"/>
    </w:rPr>
  </w:style>
  <w:style w:type="paragraph" w:customStyle="1" w:styleId="PageHeader">
    <w:name w:val="Page Header"/>
    <w:basedOn w:val="Heading1"/>
    <w:uiPriority w:val="19"/>
    <w:semiHidden/>
    <w:qFormat/>
    <w:rsid w:val="00840060"/>
    <w:pPr>
      <w:pageBreakBefore/>
      <w:framePr w:w="9072" w:wrap="around" w:vAnchor="page" w:hAnchor="text" w:y="852"/>
      <w:numPr>
        <w:numId w:val="20"/>
      </w:numPr>
      <w:pBdr>
        <w:top w:val="single" w:sz="4" w:space="1" w:color="auto"/>
      </w:pBdr>
      <w:spacing w:before="0" w:line="720" w:lineRule="atLeast"/>
    </w:pPr>
    <w:rPr>
      <w:sz w:val="60"/>
    </w:rPr>
  </w:style>
  <w:style w:type="character" w:customStyle="1" w:styleId="Heading2Char">
    <w:name w:val="Heading 2 Char"/>
    <w:aliases w:val="Sub Head 1 Char"/>
    <w:link w:val="Heading2"/>
    <w:uiPriority w:val="2"/>
    <w:rsid w:val="00EA2705"/>
    <w:rPr>
      <w:rFonts w:ascii="Century Gothic" w:eastAsia="Times New Roman" w:hAnsi="Century Gothic" w:cs="Times New Roman"/>
      <w:b/>
      <w:bCs/>
      <w:i/>
      <w:iCs/>
      <w:color w:val="6B004B"/>
      <w:sz w:val="28"/>
      <w:szCs w:val="28"/>
    </w:rPr>
  </w:style>
  <w:style w:type="character" w:customStyle="1" w:styleId="Heading3Char">
    <w:name w:val="Heading 3 Char"/>
    <w:aliases w:val="Sub Head 2 Char"/>
    <w:link w:val="Heading3"/>
    <w:uiPriority w:val="2"/>
    <w:rsid w:val="00B12C6C"/>
    <w:rPr>
      <w:rFonts w:ascii="Candara" w:eastAsia="Times New Roman" w:hAnsi="Candara" w:cs="Times New Roman"/>
      <w:b/>
      <w:bCs/>
      <w:iCs/>
      <w:color w:val="008080"/>
      <w:sz w:val="24"/>
      <w:szCs w:val="28"/>
    </w:rPr>
  </w:style>
  <w:style w:type="character" w:customStyle="1" w:styleId="Heading4Char">
    <w:name w:val="Heading 4 Char"/>
    <w:aliases w:val="Subhead 3 Char"/>
    <w:basedOn w:val="DefaultParagraphFont"/>
    <w:link w:val="Heading4"/>
    <w:uiPriority w:val="2"/>
    <w:rsid w:val="00885B83"/>
    <w:rPr>
      <w:rFonts w:ascii="Candara" w:eastAsia="Times New Roman" w:hAnsi="Candara" w:cs="Times New Roman"/>
      <w:bCs/>
      <w:i/>
      <w:iCs/>
      <w:color w:val="6B004B"/>
      <w:sz w:val="24"/>
      <w:szCs w:val="28"/>
    </w:rPr>
  </w:style>
  <w:style w:type="paragraph" w:styleId="Header">
    <w:name w:val="header"/>
    <w:basedOn w:val="Normal"/>
    <w:link w:val="HeaderChar"/>
    <w:uiPriority w:val="19"/>
    <w:semiHidden/>
    <w:rsid w:val="000765AA"/>
    <w:pPr>
      <w:tabs>
        <w:tab w:val="center" w:pos="4321"/>
        <w:tab w:val="right" w:pos="8641"/>
      </w:tabs>
      <w:jc w:val="center"/>
    </w:pPr>
    <w:rPr>
      <w:rFonts w:ascii="Candara" w:hAnsi="Candara" w:cs="Tahoma"/>
      <w:b/>
      <w:bCs/>
      <w:color w:val="9B9795"/>
      <w:szCs w:val="22"/>
    </w:rPr>
  </w:style>
  <w:style w:type="character" w:customStyle="1" w:styleId="HeaderChar">
    <w:name w:val="Header Char"/>
    <w:basedOn w:val="DefaultParagraphFont"/>
    <w:link w:val="Header"/>
    <w:uiPriority w:val="19"/>
    <w:semiHidden/>
    <w:rsid w:val="000765AA"/>
    <w:rPr>
      <w:rFonts w:ascii="Candara" w:eastAsia="Times New Roman" w:hAnsi="Candara" w:cs="Tahoma"/>
      <w:b/>
      <w:bCs/>
      <w:color w:val="9B9795"/>
      <w:sz w:val="22"/>
      <w:szCs w:val="22"/>
    </w:rPr>
  </w:style>
  <w:style w:type="paragraph" w:styleId="Footer">
    <w:name w:val="footer"/>
    <w:basedOn w:val="Normal"/>
    <w:link w:val="FooterChar"/>
    <w:uiPriority w:val="99"/>
    <w:semiHidden/>
    <w:rsid w:val="00AF2717"/>
    <w:pPr>
      <w:tabs>
        <w:tab w:val="center" w:pos="5046"/>
      </w:tabs>
      <w:spacing w:after="0" w:line="240" w:lineRule="atLeast"/>
      <w:jc w:val="center"/>
    </w:pPr>
    <w:rPr>
      <w:snapToGrid w:val="0"/>
    </w:rPr>
  </w:style>
  <w:style w:type="character" w:customStyle="1" w:styleId="FooterChar">
    <w:name w:val="Footer Char"/>
    <w:basedOn w:val="DefaultParagraphFont"/>
    <w:link w:val="Footer"/>
    <w:uiPriority w:val="99"/>
    <w:semiHidden/>
    <w:rsid w:val="00B85EAA"/>
    <w:rPr>
      <w:rFonts w:ascii="Calibri" w:eastAsia="Times New Roman" w:hAnsi="Calibri" w:cs="Times New Roman"/>
      <w:snapToGrid w:val="0"/>
      <w:sz w:val="22"/>
    </w:rPr>
  </w:style>
  <w:style w:type="paragraph" w:styleId="ListParagraph">
    <w:name w:val="List Paragraph"/>
    <w:basedOn w:val="Normal"/>
    <w:uiPriority w:val="34"/>
    <w:semiHidden/>
    <w:qFormat/>
    <w:rsid w:val="00AF2717"/>
    <w:pPr>
      <w:spacing w:after="200" w:line="276" w:lineRule="auto"/>
      <w:ind w:left="720"/>
      <w:contextualSpacing/>
      <w:jc w:val="left"/>
    </w:pPr>
    <w:rPr>
      <w:rFonts w:ascii="Arial" w:eastAsiaTheme="minorHAnsi" w:hAnsi="Arial" w:cstheme="minorBidi"/>
      <w:sz w:val="24"/>
      <w:szCs w:val="22"/>
    </w:rPr>
  </w:style>
  <w:style w:type="numbering" w:customStyle="1" w:styleId="NumbLstNumb">
    <w:name w:val="NumbLstNumb"/>
    <w:uiPriority w:val="99"/>
    <w:rsid w:val="005A1BA9"/>
    <w:pPr>
      <w:numPr>
        <w:numId w:val="11"/>
      </w:numPr>
    </w:pPr>
  </w:style>
  <w:style w:type="numbering" w:customStyle="1" w:styleId="NumbLstBullet">
    <w:name w:val="NumbLstBullet"/>
    <w:uiPriority w:val="99"/>
    <w:rsid w:val="008552F5"/>
    <w:pPr>
      <w:numPr>
        <w:numId w:val="12"/>
      </w:numPr>
    </w:pPr>
  </w:style>
  <w:style w:type="table" w:styleId="TableGrid">
    <w:name w:val="Table Grid"/>
    <w:basedOn w:val="TableNormal"/>
    <w:uiPriority w:val="59"/>
    <w:rsid w:val="00AF2717"/>
    <w:pPr>
      <w:spacing w:after="0" w:line="240" w:lineRule="auto"/>
      <w:jc w:val="right"/>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Unicode MS" w:hAnsi="Arial Unicode MS"/>
        <w:b/>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3D6017"/>
      </w:tcPr>
    </w:tblStylePr>
    <w:tblStylePr w:type="firstCol">
      <w:pPr>
        <w:jc w:val="left"/>
      </w:pPr>
    </w:tblStylePr>
  </w:style>
  <w:style w:type="paragraph" w:customStyle="1" w:styleId="Notes">
    <w:name w:val="Notes"/>
    <w:basedOn w:val="Normal"/>
    <w:next w:val="Normal"/>
    <w:uiPriority w:val="19"/>
    <w:semiHidden/>
    <w:qFormat/>
    <w:rsid w:val="00840060"/>
    <w:pPr>
      <w:spacing w:before="100" w:line="200" w:lineRule="atLeast"/>
    </w:pPr>
    <w:rPr>
      <w:sz w:val="16"/>
    </w:rPr>
  </w:style>
  <w:style w:type="paragraph" w:customStyle="1" w:styleId="NormalNoSpace">
    <w:name w:val="NormalNoSpace"/>
    <w:basedOn w:val="Normal"/>
    <w:uiPriority w:val="19"/>
    <w:qFormat/>
    <w:rsid w:val="00AF2717"/>
    <w:pPr>
      <w:spacing w:after="0"/>
    </w:pPr>
  </w:style>
  <w:style w:type="paragraph" w:customStyle="1" w:styleId="FigureTitle">
    <w:name w:val="Figure Title"/>
    <w:basedOn w:val="Normal"/>
    <w:next w:val="Normal"/>
    <w:uiPriority w:val="19"/>
    <w:qFormat/>
    <w:rsid w:val="00A606FC"/>
    <w:pPr>
      <w:keepNext/>
      <w:numPr>
        <w:ilvl w:val="6"/>
        <w:numId w:val="25"/>
      </w:numPr>
      <w:spacing w:before="40" w:after="40"/>
      <w:jc w:val="left"/>
    </w:pPr>
  </w:style>
  <w:style w:type="paragraph" w:customStyle="1" w:styleId="BodyText">
    <w:name w:val="BodyText"/>
    <w:basedOn w:val="Normal"/>
    <w:uiPriority w:val="49"/>
    <w:semiHidden/>
    <w:qFormat/>
    <w:rsid w:val="00840060"/>
    <w:pPr>
      <w:ind w:left="680"/>
    </w:pPr>
    <w:rPr>
      <w:rFonts w:cs="HelveticaNeue-Light"/>
    </w:rPr>
  </w:style>
  <w:style w:type="numbering" w:customStyle="1" w:styleId="NumbLstMain">
    <w:name w:val="NumbLstMain"/>
    <w:uiPriority w:val="99"/>
    <w:rsid w:val="00A606FC"/>
    <w:pPr>
      <w:numPr>
        <w:numId w:val="18"/>
      </w:numPr>
    </w:pPr>
  </w:style>
  <w:style w:type="paragraph" w:customStyle="1" w:styleId="PageHeaderNoToc">
    <w:name w:val="Page Header NoToc"/>
    <w:basedOn w:val="PageHeader"/>
    <w:uiPriority w:val="19"/>
    <w:semiHidden/>
    <w:qFormat/>
    <w:rsid w:val="00840060"/>
    <w:pPr>
      <w:framePr w:wrap="around"/>
    </w:pPr>
  </w:style>
  <w:style w:type="paragraph" w:customStyle="1" w:styleId="AppendixHeading2">
    <w:name w:val="Appendix Heading 2"/>
    <w:basedOn w:val="Heading2"/>
    <w:next w:val="AppendixHeading5"/>
    <w:uiPriority w:val="18"/>
    <w:qFormat/>
    <w:rsid w:val="0067266A"/>
  </w:style>
  <w:style w:type="numbering" w:customStyle="1" w:styleId="NumbLstAnnex">
    <w:name w:val="NumbLstAnnex"/>
    <w:uiPriority w:val="99"/>
    <w:rsid w:val="008552F5"/>
    <w:pPr>
      <w:numPr>
        <w:numId w:val="13"/>
      </w:numPr>
    </w:pPr>
  </w:style>
  <w:style w:type="paragraph" w:styleId="TOC1">
    <w:name w:val="toc 1"/>
    <w:basedOn w:val="Normal"/>
    <w:next w:val="Normal"/>
    <w:uiPriority w:val="39"/>
    <w:rsid w:val="00AF2717"/>
    <w:pPr>
      <w:pBdr>
        <w:top w:val="single" w:sz="8" w:space="6" w:color="CE7628"/>
        <w:between w:val="single" w:sz="8" w:space="6" w:color="CE7628"/>
      </w:pBdr>
      <w:tabs>
        <w:tab w:val="left" w:pos="1361"/>
        <w:tab w:val="right" w:pos="9412"/>
      </w:tabs>
      <w:spacing w:before="240" w:after="120"/>
      <w:ind w:left="680"/>
      <w:jc w:val="left"/>
    </w:pPr>
    <w:rPr>
      <w:rFonts w:ascii="Candara" w:hAnsi="Candara"/>
      <w:b/>
      <w:bCs/>
      <w:sz w:val="24"/>
      <w:szCs w:val="22"/>
    </w:rPr>
  </w:style>
  <w:style w:type="paragraph" w:styleId="TOC2">
    <w:name w:val="toc 2"/>
    <w:basedOn w:val="Normal"/>
    <w:next w:val="Normal"/>
    <w:autoRedefine/>
    <w:uiPriority w:val="39"/>
    <w:rsid w:val="00AF2717"/>
    <w:pPr>
      <w:tabs>
        <w:tab w:val="right" w:pos="9405"/>
      </w:tabs>
      <w:spacing w:before="120" w:after="120"/>
      <w:ind w:left="1361"/>
    </w:pPr>
  </w:style>
  <w:style w:type="paragraph" w:styleId="TOC3">
    <w:name w:val="toc 3"/>
    <w:basedOn w:val="Normal"/>
    <w:next w:val="Normal"/>
    <w:autoRedefine/>
    <w:uiPriority w:val="39"/>
    <w:semiHidden/>
    <w:rsid w:val="00AF2717"/>
    <w:pPr>
      <w:tabs>
        <w:tab w:val="right" w:pos="9405"/>
      </w:tabs>
      <w:spacing w:after="0"/>
      <w:ind w:left="1361"/>
    </w:pPr>
    <w:rPr>
      <w:iCs/>
    </w:rPr>
  </w:style>
  <w:style w:type="character" w:styleId="Hyperlink">
    <w:name w:val="Hyperlink"/>
    <w:uiPriority w:val="99"/>
    <w:rsid w:val="00AF2717"/>
    <w:rPr>
      <w:rFonts w:ascii="Calibri" w:hAnsi="Calibri"/>
      <w:color w:val="0000FF"/>
      <w:u w:val="single"/>
    </w:rPr>
  </w:style>
  <w:style w:type="paragraph" w:styleId="TOC5">
    <w:name w:val="toc 5"/>
    <w:basedOn w:val="Normal"/>
    <w:next w:val="Normal"/>
    <w:autoRedefine/>
    <w:uiPriority w:val="39"/>
    <w:semiHidden/>
    <w:rsid w:val="00897E36"/>
    <w:pPr>
      <w:pBdr>
        <w:top w:val="single" w:sz="4" w:space="6" w:color="CE7628"/>
        <w:between w:val="single" w:sz="4" w:space="6" w:color="CE7628"/>
      </w:pBdr>
      <w:tabs>
        <w:tab w:val="right" w:pos="9412"/>
      </w:tabs>
      <w:spacing w:before="120" w:after="120"/>
      <w:ind w:left="680"/>
      <w:jc w:val="left"/>
    </w:pPr>
    <w:rPr>
      <w:rFonts w:ascii="Candara" w:hAnsi="Candara"/>
      <w:b/>
      <w:sz w:val="24"/>
      <w:szCs w:val="18"/>
    </w:rPr>
  </w:style>
  <w:style w:type="paragraph" w:styleId="TOC6">
    <w:name w:val="toc 6"/>
    <w:basedOn w:val="Normal"/>
    <w:next w:val="Normal"/>
    <w:autoRedefine/>
    <w:uiPriority w:val="19"/>
    <w:semiHidden/>
    <w:rsid w:val="00AF2717"/>
    <w:pPr>
      <w:ind w:left="1100"/>
    </w:pPr>
    <w:rPr>
      <w:sz w:val="18"/>
      <w:szCs w:val="18"/>
    </w:rPr>
  </w:style>
  <w:style w:type="paragraph" w:customStyle="1" w:styleId="Heading2NoToc">
    <w:name w:val="Heading 2NoToc"/>
    <w:basedOn w:val="Heading2"/>
    <w:uiPriority w:val="19"/>
    <w:semiHidden/>
    <w:qFormat/>
    <w:rsid w:val="00253BE3"/>
    <w:pPr>
      <w:tabs>
        <w:tab w:val="num" w:pos="680"/>
      </w:tabs>
      <w:ind w:left="1360" w:hanging="680"/>
    </w:pPr>
  </w:style>
  <w:style w:type="paragraph" w:styleId="TOC7">
    <w:name w:val="toc 7"/>
    <w:basedOn w:val="Normal"/>
    <w:next w:val="Normal"/>
    <w:autoRedefine/>
    <w:uiPriority w:val="19"/>
    <w:semiHidden/>
    <w:rsid w:val="00AF2717"/>
    <w:pPr>
      <w:ind w:left="1320"/>
    </w:pPr>
    <w:rPr>
      <w:sz w:val="18"/>
      <w:szCs w:val="18"/>
    </w:rPr>
  </w:style>
  <w:style w:type="paragraph" w:styleId="Title">
    <w:name w:val="Title"/>
    <w:basedOn w:val="Normal"/>
    <w:next w:val="Normal"/>
    <w:link w:val="TitleChar"/>
    <w:uiPriority w:val="19"/>
    <w:semiHidden/>
    <w:qFormat/>
    <w:rsid w:val="00840060"/>
    <w:pPr>
      <w:spacing w:after="0" w:line="1280" w:lineRule="exact"/>
      <w:contextualSpacing/>
    </w:pPr>
    <w:rPr>
      <w:rFonts w:ascii="Arial Bold" w:eastAsiaTheme="majorEastAsia" w:hAnsi="Arial Bold" w:cstheme="majorBidi"/>
      <w:b/>
      <w:color w:val="FFFFFF" w:themeColor="background1"/>
      <w:spacing w:val="5"/>
      <w:kern w:val="28"/>
      <w:sz w:val="120"/>
      <w:szCs w:val="52"/>
      <w:lang w:val="en-AU"/>
    </w:rPr>
  </w:style>
  <w:style w:type="character" w:customStyle="1" w:styleId="TitleChar">
    <w:name w:val="Title Char"/>
    <w:basedOn w:val="DefaultParagraphFont"/>
    <w:link w:val="Title"/>
    <w:uiPriority w:val="19"/>
    <w:semiHidden/>
    <w:rsid w:val="00840060"/>
    <w:rPr>
      <w:rFonts w:ascii="Arial Bold" w:eastAsiaTheme="majorEastAsia" w:hAnsi="Arial Bold" w:cstheme="majorBidi"/>
      <w:b/>
      <w:color w:val="FFFFFF" w:themeColor="background1"/>
      <w:spacing w:val="5"/>
      <w:kern w:val="28"/>
      <w:sz w:val="120"/>
      <w:szCs w:val="52"/>
      <w:lang w:val="en-AU"/>
    </w:rPr>
  </w:style>
  <w:style w:type="paragraph" w:styleId="Subtitle">
    <w:name w:val="Subtitle"/>
    <w:basedOn w:val="Normal"/>
    <w:next w:val="Normal"/>
    <w:link w:val="SubtitleChar"/>
    <w:uiPriority w:val="19"/>
    <w:semiHidden/>
    <w:qFormat/>
    <w:rsid w:val="00840060"/>
    <w:pPr>
      <w:numPr>
        <w:ilvl w:val="1"/>
      </w:numPr>
      <w:spacing w:after="0" w:line="440" w:lineRule="exact"/>
    </w:pPr>
    <w:rPr>
      <w:rFonts w:eastAsiaTheme="majorEastAsia" w:cstheme="majorBidi"/>
      <w:b/>
      <w:iCs/>
      <w:color w:val="FFFFFF" w:themeColor="background1"/>
      <w:spacing w:val="15"/>
      <w:sz w:val="40"/>
      <w:szCs w:val="24"/>
      <w:lang w:val="en-AU"/>
    </w:rPr>
  </w:style>
  <w:style w:type="character" w:customStyle="1" w:styleId="SubtitleChar">
    <w:name w:val="Subtitle Char"/>
    <w:basedOn w:val="DefaultParagraphFont"/>
    <w:link w:val="Subtitle"/>
    <w:uiPriority w:val="19"/>
    <w:semiHidden/>
    <w:rsid w:val="00840060"/>
    <w:rPr>
      <w:rFonts w:eastAsiaTheme="majorEastAsia" w:cstheme="majorBidi"/>
      <w:b/>
      <w:iCs/>
      <w:color w:val="FFFFFF" w:themeColor="background1"/>
      <w:spacing w:val="15"/>
      <w:sz w:val="40"/>
      <w:szCs w:val="24"/>
      <w:lang w:val="en-AU"/>
    </w:rPr>
  </w:style>
  <w:style w:type="paragraph" w:customStyle="1" w:styleId="Subtitle2">
    <w:name w:val="Subtitle 2"/>
    <w:basedOn w:val="Subtitle"/>
    <w:uiPriority w:val="19"/>
    <w:semiHidden/>
    <w:qFormat/>
    <w:rsid w:val="00840060"/>
    <w:pPr>
      <w:spacing w:line="280" w:lineRule="exact"/>
    </w:pPr>
    <w:rPr>
      <w:b w:val="0"/>
      <w:sz w:val="24"/>
      <w:lang w:val="en-GB"/>
    </w:rPr>
  </w:style>
  <w:style w:type="paragraph" w:styleId="BalloonText">
    <w:name w:val="Balloon Text"/>
    <w:basedOn w:val="Normal"/>
    <w:link w:val="BalloonTextChar"/>
    <w:uiPriority w:val="19"/>
    <w:semiHidden/>
    <w:rsid w:val="00AF2717"/>
    <w:rPr>
      <w:rFonts w:cs="Tahoma"/>
      <w:sz w:val="16"/>
      <w:szCs w:val="16"/>
    </w:rPr>
  </w:style>
  <w:style w:type="character" w:customStyle="1" w:styleId="BalloonTextChar">
    <w:name w:val="Balloon Text Char"/>
    <w:basedOn w:val="DefaultParagraphFont"/>
    <w:link w:val="BalloonText"/>
    <w:uiPriority w:val="19"/>
    <w:semiHidden/>
    <w:rsid w:val="00284A93"/>
    <w:rPr>
      <w:rFonts w:ascii="Calibri" w:eastAsia="Times New Roman" w:hAnsi="Calibri" w:cs="Tahoma"/>
      <w:sz w:val="16"/>
      <w:szCs w:val="16"/>
    </w:rPr>
  </w:style>
  <w:style w:type="paragraph" w:customStyle="1" w:styleId="HeaderFirstPage">
    <w:name w:val="HeaderFirstPage"/>
    <w:basedOn w:val="Header"/>
    <w:uiPriority w:val="19"/>
    <w:semiHidden/>
    <w:qFormat/>
    <w:rsid w:val="00840060"/>
    <w:pPr>
      <w:spacing w:after="2000"/>
    </w:pPr>
  </w:style>
  <w:style w:type="paragraph" w:customStyle="1" w:styleId="NormalNoSpaceBold">
    <w:name w:val="NormalNoSpaceBold"/>
    <w:basedOn w:val="NormalNoSpace"/>
    <w:uiPriority w:val="19"/>
    <w:semiHidden/>
    <w:qFormat/>
    <w:rsid w:val="00840060"/>
    <w:rPr>
      <w:b/>
    </w:rPr>
  </w:style>
  <w:style w:type="paragraph" w:customStyle="1" w:styleId="Yours">
    <w:name w:val="Yours"/>
    <w:basedOn w:val="Normal"/>
    <w:uiPriority w:val="19"/>
    <w:semiHidden/>
    <w:qFormat/>
    <w:rsid w:val="00840060"/>
    <w:pPr>
      <w:keepNext/>
      <w:spacing w:after="1520"/>
    </w:pPr>
  </w:style>
  <w:style w:type="paragraph" w:customStyle="1" w:styleId="ContactDetails">
    <w:name w:val="ContactDetails"/>
    <w:basedOn w:val="Normal"/>
    <w:next w:val="Normal"/>
    <w:uiPriority w:val="19"/>
    <w:semiHidden/>
    <w:qFormat/>
    <w:rsid w:val="00840060"/>
    <w:pPr>
      <w:spacing w:before="120" w:after="120"/>
      <w:contextualSpacing/>
    </w:pPr>
  </w:style>
  <w:style w:type="paragraph" w:customStyle="1" w:styleId="Enclosures">
    <w:name w:val="Enclosures"/>
    <w:basedOn w:val="Normal"/>
    <w:next w:val="Normal"/>
    <w:uiPriority w:val="19"/>
    <w:semiHidden/>
    <w:qFormat/>
    <w:rsid w:val="00840060"/>
    <w:pPr>
      <w:tabs>
        <w:tab w:val="left" w:pos="1021"/>
      </w:tabs>
      <w:ind w:left="1021" w:hanging="1021"/>
    </w:pPr>
  </w:style>
  <w:style w:type="paragraph" w:customStyle="1" w:styleId="FooterPageNo">
    <w:name w:val="FooterPageNo"/>
    <w:basedOn w:val="Footer"/>
    <w:uiPriority w:val="19"/>
    <w:semiHidden/>
    <w:qFormat/>
    <w:rsid w:val="00840060"/>
    <w:pPr>
      <w:tabs>
        <w:tab w:val="right" w:pos="8732"/>
      </w:tabs>
    </w:pPr>
    <w:rPr>
      <w:sz w:val="12"/>
    </w:rPr>
  </w:style>
  <w:style w:type="paragraph" w:styleId="FootnoteText">
    <w:name w:val="footnote text"/>
    <w:basedOn w:val="Normal"/>
    <w:link w:val="FootnoteTextChar"/>
    <w:uiPriority w:val="19"/>
    <w:semiHidden/>
    <w:rsid w:val="00AF2717"/>
    <w:pPr>
      <w:overflowPunct w:val="0"/>
      <w:autoSpaceDE w:val="0"/>
      <w:autoSpaceDN w:val="0"/>
      <w:adjustRightInd w:val="0"/>
      <w:spacing w:after="120"/>
      <w:ind w:left="180" w:hanging="180"/>
      <w:textAlignment w:val="baseline"/>
    </w:pPr>
    <w:rPr>
      <w:sz w:val="18"/>
    </w:rPr>
  </w:style>
  <w:style w:type="character" w:customStyle="1" w:styleId="FootnoteTextChar">
    <w:name w:val="Footnote Text Char"/>
    <w:basedOn w:val="DefaultParagraphFont"/>
    <w:link w:val="FootnoteText"/>
    <w:uiPriority w:val="19"/>
    <w:semiHidden/>
    <w:rsid w:val="00B85EAA"/>
    <w:rPr>
      <w:rFonts w:ascii="Calibri" w:eastAsia="Times New Roman" w:hAnsi="Calibri" w:cs="Times New Roman"/>
      <w:sz w:val="18"/>
    </w:rPr>
  </w:style>
  <w:style w:type="character" w:styleId="FootnoteReference">
    <w:name w:val="footnote reference"/>
    <w:uiPriority w:val="19"/>
    <w:semiHidden/>
    <w:rsid w:val="00AF2717"/>
    <w:rPr>
      <w:vertAlign w:val="superscript"/>
    </w:rPr>
  </w:style>
  <w:style w:type="paragraph" w:styleId="CommentText">
    <w:name w:val="annotation text"/>
    <w:basedOn w:val="Normal"/>
    <w:link w:val="CommentTextChar"/>
    <w:uiPriority w:val="19"/>
    <w:semiHidden/>
    <w:rsid w:val="00AF2717"/>
  </w:style>
  <w:style w:type="character" w:customStyle="1" w:styleId="CommentTextChar">
    <w:name w:val="Comment Text Char"/>
    <w:basedOn w:val="DefaultParagraphFont"/>
    <w:link w:val="CommentText"/>
    <w:uiPriority w:val="19"/>
    <w:semiHidden/>
    <w:rsid w:val="00284A93"/>
    <w:rPr>
      <w:rFonts w:ascii="Calibri" w:eastAsia="Times New Roman" w:hAnsi="Calibri" w:cs="Times New Roman"/>
      <w:sz w:val="22"/>
    </w:rPr>
  </w:style>
  <w:style w:type="paragraph" w:styleId="Date">
    <w:name w:val="Date"/>
    <w:basedOn w:val="Normal"/>
    <w:next w:val="Normal"/>
    <w:link w:val="DateChar"/>
    <w:uiPriority w:val="99"/>
    <w:semiHidden/>
    <w:rsid w:val="00B200AF"/>
  </w:style>
  <w:style w:type="character" w:customStyle="1" w:styleId="DateChar">
    <w:name w:val="Date Char"/>
    <w:basedOn w:val="DefaultParagraphFont"/>
    <w:link w:val="Date"/>
    <w:uiPriority w:val="99"/>
    <w:semiHidden/>
    <w:rsid w:val="00B200AF"/>
    <w:rPr>
      <w:rFonts w:ascii="Arial" w:hAnsi="Arial"/>
      <w:sz w:val="20"/>
      <w:lang w:val="en-AU"/>
    </w:rPr>
  </w:style>
  <w:style w:type="paragraph" w:customStyle="1" w:styleId="TableTitle">
    <w:name w:val="Table Title"/>
    <w:basedOn w:val="Normal"/>
    <w:uiPriority w:val="11"/>
    <w:qFormat/>
    <w:rsid w:val="00B64A5D"/>
    <w:pPr>
      <w:numPr>
        <w:ilvl w:val="5"/>
        <w:numId w:val="25"/>
      </w:numPr>
      <w:pBdr>
        <w:top w:val="single" w:sz="12" w:space="1" w:color="CE7628"/>
        <w:bottom w:val="single" w:sz="12" w:space="1" w:color="E7E6E6"/>
      </w:pBdr>
      <w:shd w:val="clear" w:color="auto" w:fill="E7E6E6"/>
      <w:spacing w:before="360" w:after="0"/>
      <w:ind w:right="28"/>
      <w:jc w:val="left"/>
    </w:pPr>
  </w:style>
  <w:style w:type="paragraph" w:customStyle="1" w:styleId="FigureSource">
    <w:name w:val="Figure Source"/>
    <w:basedOn w:val="TableText"/>
    <w:uiPriority w:val="19"/>
    <w:qFormat/>
    <w:rsid w:val="00AF2717"/>
    <w:pPr>
      <w:spacing w:before="60" w:after="120"/>
      <w:ind w:left="57"/>
    </w:pPr>
    <w:rPr>
      <w:rFonts w:cs="Arial"/>
      <w:sz w:val="16"/>
      <w:szCs w:val="16"/>
    </w:rPr>
  </w:style>
  <w:style w:type="paragraph" w:customStyle="1" w:styleId="NormalIndent1">
    <w:name w:val="NormalIndent1"/>
    <w:basedOn w:val="Normal"/>
    <w:uiPriority w:val="19"/>
    <w:qFormat/>
    <w:rsid w:val="00840060"/>
    <w:pPr>
      <w:ind w:left="340"/>
    </w:pPr>
  </w:style>
  <w:style w:type="paragraph" w:customStyle="1" w:styleId="NormalIndent2">
    <w:name w:val="NormalIndent2"/>
    <w:basedOn w:val="Normal"/>
    <w:uiPriority w:val="19"/>
    <w:qFormat/>
    <w:rsid w:val="00840060"/>
    <w:pPr>
      <w:ind w:left="680"/>
    </w:pPr>
  </w:style>
  <w:style w:type="paragraph" w:styleId="Bibliography">
    <w:name w:val="Bibliography"/>
    <w:basedOn w:val="Normal"/>
    <w:next w:val="Normal"/>
    <w:uiPriority w:val="37"/>
    <w:semiHidden/>
    <w:unhideWhenUsed/>
    <w:rsid w:val="00B200AF"/>
  </w:style>
  <w:style w:type="paragraph" w:styleId="BlockText">
    <w:name w:val="Block Text"/>
    <w:basedOn w:val="Normal"/>
    <w:uiPriority w:val="99"/>
    <w:semiHidden/>
    <w:unhideWhenUsed/>
    <w:rsid w:val="00B200AF"/>
    <w:pPr>
      <w:pBdr>
        <w:top w:val="single" w:sz="2" w:space="10" w:color="9B9795" w:themeColor="accent1" w:frame="1"/>
        <w:left w:val="single" w:sz="2" w:space="10" w:color="9B9795" w:themeColor="accent1" w:frame="1"/>
        <w:bottom w:val="single" w:sz="2" w:space="10" w:color="9B9795" w:themeColor="accent1" w:frame="1"/>
        <w:right w:val="single" w:sz="2" w:space="10" w:color="9B9795" w:themeColor="accent1" w:frame="1"/>
      </w:pBdr>
      <w:ind w:left="1152" w:right="1152"/>
    </w:pPr>
    <w:rPr>
      <w:rFonts w:asciiTheme="minorHAnsi" w:eastAsiaTheme="minorEastAsia" w:hAnsiTheme="minorHAnsi"/>
      <w:i/>
      <w:iCs/>
      <w:color w:val="9B9795" w:themeColor="accent1"/>
    </w:rPr>
  </w:style>
  <w:style w:type="paragraph" w:styleId="BodyText0">
    <w:name w:val="Body Text"/>
    <w:aliases w:val="Body Text2"/>
    <w:basedOn w:val="Normal"/>
    <w:link w:val="BodyTextChar"/>
    <w:uiPriority w:val="19"/>
    <w:semiHidden/>
    <w:rsid w:val="00AF2717"/>
    <w:rPr>
      <w:rFonts w:ascii="Arial" w:hAnsi="Arial" w:cs="Arial"/>
      <w:b/>
      <w:bCs/>
      <w:sz w:val="16"/>
    </w:rPr>
  </w:style>
  <w:style w:type="character" w:customStyle="1" w:styleId="BodyTextChar">
    <w:name w:val="Body Text Char"/>
    <w:aliases w:val="Body Text2 Char"/>
    <w:basedOn w:val="DefaultParagraphFont"/>
    <w:link w:val="BodyText0"/>
    <w:uiPriority w:val="19"/>
    <w:semiHidden/>
    <w:rsid w:val="00284A93"/>
    <w:rPr>
      <w:rFonts w:eastAsia="Times New Roman" w:cs="Arial"/>
      <w:b/>
      <w:bCs/>
      <w:sz w:val="16"/>
    </w:rPr>
  </w:style>
  <w:style w:type="paragraph" w:styleId="BodyText2">
    <w:name w:val="Body Text 2"/>
    <w:basedOn w:val="Normal"/>
    <w:link w:val="BodyText2Char"/>
    <w:uiPriority w:val="19"/>
    <w:semiHidden/>
    <w:rsid w:val="00AF2717"/>
    <w:pPr>
      <w:jc w:val="center"/>
    </w:pPr>
    <w:rPr>
      <w:rFonts w:ascii="Arial" w:hAnsi="Arial" w:cs="Arial"/>
      <w:b/>
      <w:bCs/>
      <w:sz w:val="16"/>
    </w:rPr>
  </w:style>
  <w:style w:type="character" w:customStyle="1" w:styleId="BodyText2Char">
    <w:name w:val="Body Text 2 Char"/>
    <w:basedOn w:val="DefaultParagraphFont"/>
    <w:link w:val="BodyText2"/>
    <w:uiPriority w:val="19"/>
    <w:semiHidden/>
    <w:rsid w:val="00284A93"/>
    <w:rPr>
      <w:rFonts w:eastAsia="Times New Roman" w:cs="Arial"/>
      <w:b/>
      <w:bCs/>
      <w:sz w:val="16"/>
    </w:rPr>
  </w:style>
  <w:style w:type="paragraph" w:styleId="BodyText3">
    <w:name w:val="Body Text 3"/>
    <w:basedOn w:val="Normal"/>
    <w:link w:val="BodyText3Char"/>
    <w:uiPriority w:val="19"/>
    <w:semiHidden/>
    <w:rsid w:val="00AF2717"/>
    <w:pPr>
      <w:jc w:val="center"/>
    </w:pPr>
    <w:rPr>
      <w:rFonts w:ascii="Arial" w:hAnsi="Arial" w:cs="Arial"/>
      <w:b/>
      <w:bCs/>
      <w:sz w:val="28"/>
    </w:rPr>
  </w:style>
  <w:style w:type="character" w:customStyle="1" w:styleId="BodyText3Char">
    <w:name w:val="Body Text 3 Char"/>
    <w:basedOn w:val="DefaultParagraphFont"/>
    <w:link w:val="BodyText3"/>
    <w:uiPriority w:val="19"/>
    <w:semiHidden/>
    <w:rsid w:val="00284A93"/>
    <w:rPr>
      <w:rFonts w:eastAsia="Times New Roman" w:cs="Arial"/>
      <w:b/>
      <w:bCs/>
      <w:sz w:val="28"/>
    </w:rPr>
  </w:style>
  <w:style w:type="paragraph" w:styleId="BodyTextFirstIndent">
    <w:name w:val="Body Text First Indent"/>
    <w:basedOn w:val="BodyText0"/>
    <w:link w:val="BodyTextFirstIndentChar"/>
    <w:uiPriority w:val="99"/>
    <w:semiHidden/>
    <w:unhideWhenUsed/>
    <w:rsid w:val="00B200AF"/>
    <w:pPr>
      <w:ind w:firstLine="360"/>
    </w:pPr>
  </w:style>
  <w:style w:type="character" w:customStyle="1" w:styleId="BodyTextFirstIndentChar">
    <w:name w:val="Body Text First Indent Char"/>
    <w:basedOn w:val="BodyTextChar"/>
    <w:link w:val="BodyTextFirstIndent"/>
    <w:uiPriority w:val="99"/>
    <w:semiHidden/>
    <w:rsid w:val="00B200AF"/>
    <w:rPr>
      <w:rFonts w:ascii="Arial" w:eastAsia="Times New Roman" w:hAnsi="Arial" w:cs="Arial"/>
      <w:b/>
      <w:bCs/>
      <w:sz w:val="20"/>
      <w:lang w:val="en-AU"/>
    </w:rPr>
  </w:style>
  <w:style w:type="paragraph" w:styleId="BodyTextIndent">
    <w:name w:val="Body Text Indent"/>
    <w:basedOn w:val="Normal"/>
    <w:link w:val="BodyTextIndentChar"/>
    <w:uiPriority w:val="19"/>
    <w:semiHidden/>
    <w:rsid w:val="00AF2717"/>
    <w:pPr>
      <w:ind w:left="426"/>
    </w:pPr>
  </w:style>
  <w:style w:type="character" w:customStyle="1" w:styleId="BodyTextIndentChar">
    <w:name w:val="Body Text Indent Char"/>
    <w:basedOn w:val="DefaultParagraphFont"/>
    <w:link w:val="BodyTextIndent"/>
    <w:uiPriority w:val="19"/>
    <w:semiHidden/>
    <w:rsid w:val="00284A93"/>
    <w:rPr>
      <w:rFonts w:ascii="Calibri" w:eastAsia="Times New Roman" w:hAnsi="Calibri" w:cs="Times New Roman"/>
      <w:sz w:val="22"/>
    </w:rPr>
  </w:style>
  <w:style w:type="paragraph" w:styleId="BodyTextFirstIndent2">
    <w:name w:val="Body Text First Indent 2"/>
    <w:basedOn w:val="BodyTextIndent"/>
    <w:link w:val="BodyTextFirstIndent2Char"/>
    <w:uiPriority w:val="99"/>
    <w:semiHidden/>
    <w:unhideWhenUsed/>
    <w:rsid w:val="00B200AF"/>
    <w:pPr>
      <w:ind w:left="360" w:firstLine="360"/>
    </w:pPr>
  </w:style>
  <w:style w:type="character" w:customStyle="1" w:styleId="BodyTextFirstIndent2Char">
    <w:name w:val="Body Text First Indent 2 Char"/>
    <w:basedOn w:val="BodyTextIndentChar"/>
    <w:link w:val="BodyTextFirstIndent2"/>
    <w:uiPriority w:val="99"/>
    <w:semiHidden/>
    <w:rsid w:val="00B200AF"/>
    <w:rPr>
      <w:rFonts w:ascii="Arial" w:eastAsia="Times New Roman" w:hAnsi="Arial" w:cs="Times New Roman"/>
      <w:sz w:val="20"/>
      <w:lang w:val="en-AU"/>
    </w:rPr>
  </w:style>
  <w:style w:type="paragraph" w:styleId="BodyTextIndent2">
    <w:name w:val="Body Text Indent 2"/>
    <w:basedOn w:val="Normal"/>
    <w:link w:val="BodyTextIndent2Char"/>
    <w:uiPriority w:val="19"/>
    <w:semiHidden/>
    <w:rsid w:val="00AF2717"/>
    <w:pPr>
      <w:ind w:left="426"/>
    </w:pPr>
  </w:style>
  <w:style w:type="character" w:customStyle="1" w:styleId="BodyTextIndent2Char">
    <w:name w:val="Body Text Indent 2 Char"/>
    <w:basedOn w:val="DefaultParagraphFont"/>
    <w:link w:val="BodyTextIndent2"/>
    <w:uiPriority w:val="19"/>
    <w:semiHidden/>
    <w:rsid w:val="00284A93"/>
    <w:rPr>
      <w:rFonts w:ascii="Calibri" w:eastAsia="Times New Roman" w:hAnsi="Calibri" w:cs="Times New Roman"/>
      <w:sz w:val="22"/>
    </w:rPr>
  </w:style>
  <w:style w:type="paragraph" w:styleId="BodyTextIndent3">
    <w:name w:val="Body Text Indent 3"/>
    <w:basedOn w:val="Normal"/>
    <w:link w:val="BodyTextIndent3Char"/>
    <w:uiPriority w:val="19"/>
    <w:semiHidden/>
    <w:rsid w:val="00AF2717"/>
    <w:pPr>
      <w:tabs>
        <w:tab w:val="num" w:pos="426"/>
      </w:tabs>
      <w:ind w:left="426"/>
    </w:pPr>
    <w:rPr>
      <w:szCs w:val="24"/>
    </w:rPr>
  </w:style>
  <w:style w:type="character" w:customStyle="1" w:styleId="BodyTextIndent3Char">
    <w:name w:val="Body Text Indent 3 Char"/>
    <w:basedOn w:val="DefaultParagraphFont"/>
    <w:link w:val="BodyTextIndent3"/>
    <w:uiPriority w:val="19"/>
    <w:semiHidden/>
    <w:rsid w:val="00284A93"/>
    <w:rPr>
      <w:rFonts w:ascii="Calibri" w:eastAsia="Times New Roman" w:hAnsi="Calibri" w:cs="Times New Roman"/>
      <w:sz w:val="22"/>
      <w:szCs w:val="24"/>
    </w:rPr>
  </w:style>
  <w:style w:type="character" w:styleId="BookTitle">
    <w:name w:val="Book Title"/>
    <w:basedOn w:val="DefaultParagraphFont"/>
    <w:uiPriority w:val="33"/>
    <w:semiHidden/>
    <w:unhideWhenUsed/>
    <w:qFormat/>
    <w:rsid w:val="00840060"/>
    <w:rPr>
      <w:b/>
      <w:bCs/>
      <w:smallCaps/>
      <w:spacing w:val="5"/>
    </w:rPr>
  </w:style>
  <w:style w:type="paragraph" w:styleId="Caption">
    <w:name w:val="caption"/>
    <w:basedOn w:val="TableText"/>
    <w:next w:val="Normal"/>
    <w:uiPriority w:val="19"/>
    <w:semiHidden/>
    <w:qFormat/>
    <w:rsid w:val="00AF2717"/>
    <w:rPr>
      <w:sz w:val="22"/>
    </w:rPr>
  </w:style>
  <w:style w:type="paragraph" w:styleId="Closing">
    <w:name w:val="Closing"/>
    <w:basedOn w:val="Normal"/>
    <w:link w:val="ClosingChar"/>
    <w:uiPriority w:val="99"/>
    <w:semiHidden/>
    <w:unhideWhenUsed/>
    <w:rsid w:val="00B200AF"/>
    <w:pPr>
      <w:spacing w:after="0"/>
      <w:ind w:left="4252"/>
    </w:pPr>
  </w:style>
  <w:style w:type="character" w:customStyle="1" w:styleId="ClosingChar">
    <w:name w:val="Closing Char"/>
    <w:basedOn w:val="DefaultParagraphFont"/>
    <w:link w:val="Closing"/>
    <w:uiPriority w:val="99"/>
    <w:semiHidden/>
    <w:rsid w:val="00B200AF"/>
    <w:rPr>
      <w:rFonts w:ascii="Arial" w:hAnsi="Arial"/>
      <w:sz w:val="20"/>
      <w:lang w:val="en-AU"/>
    </w:rPr>
  </w:style>
  <w:style w:type="table" w:styleId="ColorfulGrid">
    <w:name w:val="Colorful Grid"/>
    <w:basedOn w:val="TableNormal"/>
    <w:uiPriority w:val="73"/>
    <w:rsid w:val="008552F5"/>
    <w:pPr>
      <w:spacing w:after="0" w:line="240" w:lineRule="auto"/>
    </w:pPr>
    <w:rPr>
      <w:color w:val="9B9795" w:themeColor="text1"/>
    </w:rPr>
    <w:tblPr>
      <w:tblStyleRowBandSize w:val="1"/>
      <w:tblStyleColBandSize w:val="1"/>
      <w:tblBorders>
        <w:insideH w:val="single" w:sz="4" w:space="0" w:color="FFFFFF" w:themeColor="background1"/>
      </w:tblBorders>
    </w:tblPr>
    <w:tcPr>
      <w:shd w:val="clear" w:color="auto" w:fill="EBEAE9" w:themeFill="text1" w:themeFillTint="33"/>
    </w:tcPr>
    <w:tblStylePr w:type="firstRow">
      <w:rPr>
        <w:b/>
        <w:bCs/>
      </w:rPr>
      <w:tblPr/>
      <w:tcPr>
        <w:shd w:val="clear" w:color="auto" w:fill="D7D5D4" w:themeFill="text1" w:themeFillTint="66"/>
      </w:tcPr>
    </w:tblStylePr>
    <w:tblStylePr w:type="lastRow">
      <w:rPr>
        <w:b/>
        <w:bCs/>
        <w:color w:val="9B9795" w:themeColor="text1"/>
      </w:rPr>
      <w:tblPr/>
      <w:tcPr>
        <w:shd w:val="clear" w:color="auto" w:fill="D7D5D4" w:themeFill="text1" w:themeFillTint="66"/>
      </w:tcPr>
    </w:tblStylePr>
    <w:tblStylePr w:type="firstCol">
      <w:rPr>
        <w:color w:val="FFFFFF" w:themeColor="background1"/>
      </w:rPr>
      <w:tblPr/>
      <w:tcPr>
        <w:shd w:val="clear" w:color="auto" w:fill="75706E" w:themeFill="text1" w:themeFillShade="BF"/>
      </w:tcPr>
    </w:tblStylePr>
    <w:tblStylePr w:type="lastCol">
      <w:rPr>
        <w:color w:val="FFFFFF" w:themeColor="background1"/>
      </w:rPr>
      <w:tblPr/>
      <w:tcPr>
        <w:shd w:val="clear" w:color="auto" w:fill="75706E" w:themeFill="text1" w:themeFillShade="BF"/>
      </w:tcPr>
    </w:tblStylePr>
    <w:tblStylePr w:type="band1Vert">
      <w:tblPr/>
      <w:tcPr>
        <w:shd w:val="clear" w:color="auto" w:fill="CDCBCA" w:themeFill="text1" w:themeFillTint="7F"/>
      </w:tcPr>
    </w:tblStylePr>
    <w:tblStylePr w:type="band1Horz">
      <w:tblPr/>
      <w:tcPr>
        <w:shd w:val="clear" w:color="auto" w:fill="CDCBCA" w:themeFill="text1" w:themeFillTint="7F"/>
      </w:tcPr>
    </w:tblStylePr>
  </w:style>
  <w:style w:type="table" w:styleId="ColorfulGrid-Accent1">
    <w:name w:val="Colorful Grid Accent 1"/>
    <w:basedOn w:val="TableNormal"/>
    <w:uiPriority w:val="73"/>
    <w:rsid w:val="008552F5"/>
    <w:pPr>
      <w:spacing w:after="0" w:line="240" w:lineRule="auto"/>
    </w:pPr>
    <w:rPr>
      <w:color w:val="9B9795" w:themeColor="text1"/>
    </w:rPr>
    <w:tblPr>
      <w:tblStyleRowBandSize w:val="1"/>
      <w:tblStyleColBandSize w:val="1"/>
      <w:tblBorders>
        <w:insideH w:val="single" w:sz="4" w:space="0" w:color="FFFFFF" w:themeColor="background1"/>
      </w:tblBorders>
    </w:tblPr>
    <w:tcPr>
      <w:shd w:val="clear" w:color="auto" w:fill="EBEAE9" w:themeFill="accent1" w:themeFillTint="33"/>
    </w:tcPr>
    <w:tblStylePr w:type="firstRow">
      <w:rPr>
        <w:b/>
        <w:bCs/>
      </w:rPr>
      <w:tblPr/>
      <w:tcPr>
        <w:shd w:val="clear" w:color="auto" w:fill="D7D5D4" w:themeFill="accent1" w:themeFillTint="66"/>
      </w:tcPr>
    </w:tblStylePr>
    <w:tblStylePr w:type="lastRow">
      <w:rPr>
        <w:b/>
        <w:bCs/>
        <w:color w:val="9B9795" w:themeColor="text1"/>
      </w:rPr>
      <w:tblPr/>
      <w:tcPr>
        <w:shd w:val="clear" w:color="auto" w:fill="D7D5D4" w:themeFill="accent1" w:themeFillTint="66"/>
      </w:tcPr>
    </w:tblStylePr>
    <w:tblStylePr w:type="firstCol">
      <w:rPr>
        <w:color w:val="FFFFFF" w:themeColor="background1"/>
      </w:rPr>
      <w:tblPr/>
      <w:tcPr>
        <w:shd w:val="clear" w:color="auto" w:fill="75706E" w:themeFill="accent1" w:themeFillShade="BF"/>
      </w:tcPr>
    </w:tblStylePr>
    <w:tblStylePr w:type="lastCol">
      <w:rPr>
        <w:color w:val="FFFFFF" w:themeColor="background1"/>
      </w:rPr>
      <w:tblPr/>
      <w:tcPr>
        <w:shd w:val="clear" w:color="auto" w:fill="75706E" w:themeFill="accent1" w:themeFillShade="BF"/>
      </w:tcPr>
    </w:tblStylePr>
    <w:tblStylePr w:type="band1Vert">
      <w:tblPr/>
      <w:tcPr>
        <w:shd w:val="clear" w:color="auto" w:fill="CDCBCA" w:themeFill="accent1" w:themeFillTint="7F"/>
      </w:tcPr>
    </w:tblStylePr>
    <w:tblStylePr w:type="band1Horz">
      <w:tblPr/>
      <w:tcPr>
        <w:shd w:val="clear" w:color="auto" w:fill="CDCBCA" w:themeFill="accent1" w:themeFillTint="7F"/>
      </w:tcPr>
    </w:tblStylePr>
  </w:style>
  <w:style w:type="table" w:styleId="ColorfulGrid-Accent2">
    <w:name w:val="Colorful Grid Accent 2"/>
    <w:basedOn w:val="TableNormal"/>
    <w:uiPriority w:val="73"/>
    <w:rsid w:val="008552F5"/>
    <w:pPr>
      <w:spacing w:after="0" w:line="240" w:lineRule="auto"/>
    </w:pPr>
    <w:rPr>
      <w:color w:val="9B9795" w:themeColor="text1"/>
    </w:rPr>
    <w:tblPr>
      <w:tblStyleRowBandSize w:val="1"/>
      <w:tblStyleColBandSize w:val="1"/>
      <w:tblBorders>
        <w:insideH w:val="single" w:sz="4" w:space="0" w:color="FFFFFF" w:themeColor="background1"/>
      </w:tblBorders>
    </w:tblPr>
    <w:tcPr>
      <w:shd w:val="clear" w:color="auto" w:fill="F6E3D2" w:themeFill="accent2" w:themeFillTint="33"/>
    </w:tcPr>
    <w:tblStylePr w:type="firstRow">
      <w:rPr>
        <w:b/>
        <w:bCs/>
      </w:rPr>
      <w:tblPr/>
      <w:tcPr>
        <w:shd w:val="clear" w:color="auto" w:fill="EDC7A6" w:themeFill="accent2" w:themeFillTint="66"/>
      </w:tcPr>
    </w:tblStylePr>
    <w:tblStylePr w:type="lastRow">
      <w:rPr>
        <w:b/>
        <w:bCs/>
        <w:color w:val="9B9795" w:themeColor="text1"/>
      </w:rPr>
      <w:tblPr/>
      <w:tcPr>
        <w:shd w:val="clear" w:color="auto" w:fill="EDC7A6" w:themeFill="accent2" w:themeFillTint="66"/>
      </w:tcPr>
    </w:tblStylePr>
    <w:tblStylePr w:type="firstCol">
      <w:rPr>
        <w:color w:val="FFFFFF" w:themeColor="background1"/>
      </w:rPr>
      <w:tblPr/>
      <w:tcPr>
        <w:shd w:val="clear" w:color="auto" w:fill="9A571E" w:themeFill="accent2" w:themeFillShade="BF"/>
      </w:tcPr>
    </w:tblStylePr>
    <w:tblStylePr w:type="lastCol">
      <w:rPr>
        <w:color w:val="FFFFFF" w:themeColor="background1"/>
      </w:rPr>
      <w:tblPr/>
      <w:tcPr>
        <w:shd w:val="clear" w:color="auto" w:fill="9A571E" w:themeFill="accent2" w:themeFillShade="BF"/>
      </w:tcPr>
    </w:tblStylePr>
    <w:tblStylePr w:type="band1Vert">
      <w:tblPr/>
      <w:tcPr>
        <w:shd w:val="clear" w:color="auto" w:fill="E9BA90" w:themeFill="accent2" w:themeFillTint="7F"/>
      </w:tcPr>
    </w:tblStylePr>
    <w:tblStylePr w:type="band1Horz">
      <w:tblPr/>
      <w:tcPr>
        <w:shd w:val="clear" w:color="auto" w:fill="E9BA90" w:themeFill="accent2" w:themeFillTint="7F"/>
      </w:tcPr>
    </w:tblStylePr>
  </w:style>
  <w:style w:type="table" w:styleId="ColorfulGrid-Accent3">
    <w:name w:val="Colorful Grid Accent 3"/>
    <w:basedOn w:val="TableNormal"/>
    <w:uiPriority w:val="73"/>
    <w:rsid w:val="008552F5"/>
    <w:pPr>
      <w:spacing w:after="0" w:line="240" w:lineRule="auto"/>
    </w:pPr>
    <w:rPr>
      <w:color w:val="9B9795" w:themeColor="text1"/>
    </w:rPr>
    <w:tblPr>
      <w:tblStyleRowBandSize w:val="1"/>
      <w:tblStyleColBandSize w:val="1"/>
      <w:tblBorders>
        <w:insideH w:val="single" w:sz="4" w:space="0" w:color="FFFFFF" w:themeColor="background1"/>
      </w:tblBorders>
    </w:tblPr>
    <w:tcPr>
      <w:shd w:val="clear" w:color="auto" w:fill="D7E9D0" w:themeFill="accent3" w:themeFillTint="33"/>
    </w:tcPr>
    <w:tblStylePr w:type="firstRow">
      <w:rPr>
        <w:b/>
        <w:bCs/>
      </w:rPr>
      <w:tblPr/>
      <w:tcPr>
        <w:shd w:val="clear" w:color="auto" w:fill="B1D3A2" w:themeFill="accent3" w:themeFillTint="66"/>
      </w:tcPr>
    </w:tblStylePr>
    <w:tblStylePr w:type="lastRow">
      <w:rPr>
        <w:b/>
        <w:bCs/>
        <w:color w:val="9B9795" w:themeColor="text1"/>
      </w:rPr>
      <w:tblPr/>
      <w:tcPr>
        <w:shd w:val="clear" w:color="auto" w:fill="B1D3A2" w:themeFill="accent3" w:themeFillTint="66"/>
      </w:tcPr>
    </w:tblStylePr>
    <w:tblStylePr w:type="firstCol">
      <w:rPr>
        <w:color w:val="FFFFFF" w:themeColor="background1"/>
      </w:rPr>
      <w:tblPr/>
      <w:tcPr>
        <w:shd w:val="clear" w:color="auto" w:fill="365729" w:themeFill="accent3" w:themeFillShade="BF"/>
      </w:tcPr>
    </w:tblStylePr>
    <w:tblStylePr w:type="lastCol">
      <w:rPr>
        <w:color w:val="FFFFFF" w:themeColor="background1"/>
      </w:rPr>
      <w:tblPr/>
      <w:tcPr>
        <w:shd w:val="clear" w:color="auto" w:fill="365729" w:themeFill="accent3" w:themeFillShade="BF"/>
      </w:tcPr>
    </w:tblStylePr>
    <w:tblStylePr w:type="band1Vert">
      <w:tblPr/>
      <w:tcPr>
        <w:shd w:val="clear" w:color="auto" w:fill="9DC98C" w:themeFill="accent3" w:themeFillTint="7F"/>
      </w:tcPr>
    </w:tblStylePr>
    <w:tblStylePr w:type="band1Horz">
      <w:tblPr/>
      <w:tcPr>
        <w:shd w:val="clear" w:color="auto" w:fill="9DC98C" w:themeFill="accent3" w:themeFillTint="7F"/>
      </w:tcPr>
    </w:tblStylePr>
  </w:style>
  <w:style w:type="table" w:styleId="ColorfulGrid-Accent4">
    <w:name w:val="Colorful Grid Accent 4"/>
    <w:basedOn w:val="TableNormal"/>
    <w:uiPriority w:val="73"/>
    <w:rsid w:val="008552F5"/>
    <w:pPr>
      <w:spacing w:after="0" w:line="240" w:lineRule="auto"/>
    </w:pPr>
    <w:rPr>
      <w:color w:val="9B9795" w:themeColor="text1"/>
    </w:rPr>
    <w:tblPr>
      <w:tblStyleRowBandSize w:val="1"/>
      <w:tblStyleColBandSize w:val="1"/>
      <w:tblBorders>
        <w:insideH w:val="single" w:sz="4" w:space="0" w:color="FFFFFF" w:themeColor="background1"/>
      </w:tblBorders>
    </w:tblPr>
    <w:tcPr>
      <w:shd w:val="clear" w:color="auto" w:fill="F0EDD2" w:themeFill="accent4" w:themeFillTint="33"/>
    </w:tcPr>
    <w:tblStylePr w:type="firstRow">
      <w:rPr>
        <w:b/>
        <w:bCs/>
      </w:rPr>
      <w:tblPr/>
      <w:tcPr>
        <w:shd w:val="clear" w:color="auto" w:fill="E1DCA6" w:themeFill="accent4" w:themeFillTint="66"/>
      </w:tcPr>
    </w:tblStylePr>
    <w:tblStylePr w:type="lastRow">
      <w:rPr>
        <w:b/>
        <w:bCs/>
        <w:color w:val="9B9795" w:themeColor="text1"/>
      </w:rPr>
      <w:tblPr/>
      <w:tcPr>
        <w:shd w:val="clear" w:color="auto" w:fill="E1DCA6" w:themeFill="accent4" w:themeFillTint="66"/>
      </w:tcPr>
    </w:tblStylePr>
    <w:tblStylePr w:type="firstCol">
      <w:rPr>
        <w:color w:val="FFFFFF" w:themeColor="background1"/>
      </w:rPr>
      <w:tblPr/>
      <w:tcPr>
        <w:shd w:val="clear" w:color="auto" w:fill="787128" w:themeFill="accent4" w:themeFillShade="BF"/>
      </w:tcPr>
    </w:tblStylePr>
    <w:tblStylePr w:type="lastCol">
      <w:rPr>
        <w:color w:val="FFFFFF" w:themeColor="background1"/>
      </w:rPr>
      <w:tblPr/>
      <w:tcPr>
        <w:shd w:val="clear" w:color="auto" w:fill="787128" w:themeFill="accent4" w:themeFillShade="BF"/>
      </w:tcPr>
    </w:tblStylePr>
    <w:tblStylePr w:type="band1Vert">
      <w:tblPr/>
      <w:tcPr>
        <w:shd w:val="clear" w:color="auto" w:fill="DAD390" w:themeFill="accent4" w:themeFillTint="7F"/>
      </w:tcPr>
    </w:tblStylePr>
    <w:tblStylePr w:type="band1Horz">
      <w:tblPr/>
      <w:tcPr>
        <w:shd w:val="clear" w:color="auto" w:fill="DAD390" w:themeFill="accent4" w:themeFillTint="7F"/>
      </w:tcPr>
    </w:tblStylePr>
  </w:style>
  <w:style w:type="table" w:styleId="ColorfulGrid-Accent5">
    <w:name w:val="Colorful Grid Accent 5"/>
    <w:basedOn w:val="TableNormal"/>
    <w:uiPriority w:val="73"/>
    <w:rsid w:val="008552F5"/>
    <w:pPr>
      <w:spacing w:after="0" w:line="240" w:lineRule="auto"/>
    </w:pPr>
    <w:rPr>
      <w:color w:val="9B9795" w:themeColor="text1"/>
    </w:rPr>
    <w:tblPr>
      <w:tblStyleRowBandSize w:val="1"/>
      <w:tblStyleColBandSize w:val="1"/>
      <w:tblBorders>
        <w:insideH w:val="single" w:sz="4" w:space="0" w:color="FFFFFF" w:themeColor="background1"/>
      </w:tblBorders>
    </w:tblPr>
    <w:tcPr>
      <w:shd w:val="clear" w:color="auto" w:fill="E9D0D7" w:themeFill="accent5" w:themeFillTint="33"/>
    </w:tcPr>
    <w:tblStylePr w:type="firstRow">
      <w:rPr>
        <w:b/>
        <w:bCs/>
      </w:rPr>
      <w:tblPr/>
      <w:tcPr>
        <w:shd w:val="clear" w:color="auto" w:fill="D3A2B1" w:themeFill="accent5" w:themeFillTint="66"/>
      </w:tcPr>
    </w:tblStylePr>
    <w:tblStylePr w:type="lastRow">
      <w:rPr>
        <w:b/>
        <w:bCs/>
        <w:color w:val="9B9795" w:themeColor="text1"/>
      </w:rPr>
      <w:tblPr/>
      <w:tcPr>
        <w:shd w:val="clear" w:color="auto" w:fill="D3A2B1" w:themeFill="accent5" w:themeFillTint="66"/>
      </w:tcPr>
    </w:tblStylePr>
    <w:tblStylePr w:type="firstCol">
      <w:rPr>
        <w:color w:val="FFFFFF" w:themeColor="background1"/>
      </w:rPr>
      <w:tblPr/>
      <w:tcPr>
        <w:shd w:val="clear" w:color="auto" w:fill="572936" w:themeFill="accent5" w:themeFillShade="BF"/>
      </w:tcPr>
    </w:tblStylePr>
    <w:tblStylePr w:type="lastCol">
      <w:rPr>
        <w:color w:val="FFFFFF" w:themeColor="background1"/>
      </w:rPr>
      <w:tblPr/>
      <w:tcPr>
        <w:shd w:val="clear" w:color="auto" w:fill="572936" w:themeFill="accent5" w:themeFillShade="BF"/>
      </w:tcPr>
    </w:tblStylePr>
    <w:tblStylePr w:type="band1Vert">
      <w:tblPr/>
      <w:tcPr>
        <w:shd w:val="clear" w:color="auto" w:fill="C98C9D" w:themeFill="accent5" w:themeFillTint="7F"/>
      </w:tcPr>
    </w:tblStylePr>
    <w:tblStylePr w:type="band1Horz">
      <w:tblPr/>
      <w:tcPr>
        <w:shd w:val="clear" w:color="auto" w:fill="C98C9D" w:themeFill="accent5" w:themeFillTint="7F"/>
      </w:tcPr>
    </w:tblStylePr>
  </w:style>
  <w:style w:type="table" w:styleId="ColorfulGrid-Accent6">
    <w:name w:val="Colorful Grid Accent 6"/>
    <w:basedOn w:val="TableNormal"/>
    <w:uiPriority w:val="73"/>
    <w:rsid w:val="008552F5"/>
    <w:pPr>
      <w:spacing w:after="0" w:line="240" w:lineRule="auto"/>
    </w:pPr>
    <w:rPr>
      <w:color w:val="9B9795" w:themeColor="text1"/>
    </w:rPr>
    <w:tblPr>
      <w:tblStyleRowBandSize w:val="1"/>
      <w:tblStyleColBandSize w:val="1"/>
      <w:tblBorders>
        <w:insideH w:val="single" w:sz="4" w:space="0" w:color="FFFFFF" w:themeColor="background1"/>
      </w:tblBorders>
    </w:tblPr>
    <w:tcPr>
      <w:shd w:val="clear" w:color="auto" w:fill="FCEED1" w:themeFill="accent6" w:themeFillTint="33"/>
    </w:tcPr>
    <w:tblStylePr w:type="firstRow">
      <w:rPr>
        <w:b/>
        <w:bCs/>
      </w:rPr>
      <w:tblPr/>
      <w:tcPr>
        <w:shd w:val="clear" w:color="auto" w:fill="F9DEA3" w:themeFill="accent6" w:themeFillTint="66"/>
      </w:tcPr>
    </w:tblStylePr>
    <w:tblStylePr w:type="lastRow">
      <w:rPr>
        <w:b/>
        <w:bCs/>
        <w:color w:val="9B9795" w:themeColor="text1"/>
      </w:rPr>
      <w:tblPr/>
      <w:tcPr>
        <w:shd w:val="clear" w:color="auto" w:fill="F9DEA3" w:themeFill="accent6" w:themeFillTint="66"/>
      </w:tcPr>
    </w:tblStylePr>
    <w:tblStylePr w:type="firstCol">
      <w:rPr>
        <w:color w:val="FFFFFF" w:themeColor="background1"/>
      </w:rPr>
      <w:tblPr/>
      <w:tcPr>
        <w:shd w:val="clear" w:color="auto" w:fill="BC850B" w:themeFill="accent6" w:themeFillShade="BF"/>
      </w:tcPr>
    </w:tblStylePr>
    <w:tblStylePr w:type="lastCol">
      <w:rPr>
        <w:color w:val="FFFFFF" w:themeColor="background1"/>
      </w:rPr>
      <w:tblPr/>
      <w:tcPr>
        <w:shd w:val="clear" w:color="auto" w:fill="BC850B" w:themeFill="accent6" w:themeFillShade="BF"/>
      </w:tcPr>
    </w:tblStylePr>
    <w:tblStylePr w:type="band1Vert">
      <w:tblPr/>
      <w:tcPr>
        <w:shd w:val="clear" w:color="auto" w:fill="F8D68C" w:themeFill="accent6" w:themeFillTint="7F"/>
      </w:tcPr>
    </w:tblStylePr>
    <w:tblStylePr w:type="band1Horz">
      <w:tblPr/>
      <w:tcPr>
        <w:shd w:val="clear" w:color="auto" w:fill="F8D68C" w:themeFill="accent6" w:themeFillTint="7F"/>
      </w:tcPr>
    </w:tblStylePr>
  </w:style>
  <w:style w:type="table" w:styleId="ColorfulList">
    <w:name w:val="Colorful List"/>
    <w:basedOn w:val="TableNormal"/>
    <w:uiPriority w:val="72"/>
    <w:rsid w:val="008552F5"/>
    <w:pPr>
      <w:spacing w:after="0" w:line="240" w:lineRule="auto"/>
    </w:pPr>
    <w:rPr>
      <w:color w:val="9B9795" w:themeColor="text1"/>
    </w:rPr>
    <w:tblPr>
      <w:tblStyleRowBandSize w:val="1"/>
      <w:tblStyleColBandSize w:val="1"/>
    </w:tblPr>
    <w:tcPr>
      <w:shd w:val="clear" w:color="auto" w:fill="F5F4F4" w:themeFill="text1" w:themeFillTint="19"/>
    </w:tcPr>
    <w:tblStylePr w:type="firstRow">
      <w:rPr>
        <w:b/>
        <w:bCs/>
        <w:color w:val="FFFFFF" w:themeColor="background1"/>
      </w:rPr>
      <w:tblPr/>
      <w:tcPr>
        <w:tcBorders>
          <w:bottom w:val="single" w:sz="12" w:space="0" w:color="FFFFFF" w:themeColor="background1"/>
        </w:tcBorders>
        <w:shd w:val="clear" w:color="auto" w:fill="A45D20" w:themeFill="accent2" w:themeFillShade="CC"/>
      </w:tcPr>
    </w:tblStylePr>
    <w:tblStylePr w:type="lastRow">
      <w:rPr>
        <w:b/>
        <w:bCs/>
        <w:color w:val="A45D20" w:themeColor="accent2" w:themeShade="CC"/>
      </w:rPr>
      <w:tblPr/>
      <w:tcPr>
        <w:tcBorders>
          <w:top w:val="single" w:sz="12" w:space="0" w:color="9B979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5E4" w:themeFill="text1" w:themeFillTint="3F"/>
      </w:tcPr>
    </w:tblStylePr>
    <w:tblStylePr w:type="band1Horz">
      <w:tblPr/>
      <w:tcPr>
        <w:shd w:val="clear" w:color="auto" w:fill="EBEAE9" w:themeFill="text1" w:themeFillTint="33"/>
      </w:tcPr>
    </w:tblStylePr>
  </w:style>
  <w:style w:type="table" w:styleId="ColorfulList-Accent1">
    <w:name w:val="Colorful List Accent 1"/>
    <w:basedOn w:val="TableNormal"/>
    <w:uiPriority w:val="72"/>
    <w:rsid w:val="008552F5"/>
    <w:pPr>
      <w:spacing w:after="0" w:line="240" w:lineRule="auto"/>
    </w:pPr>
    <w:rPr>
      <w:color w:val="9B9795" w:themeColor="text1"/>
    </w:rPr>
    <w:tblPr>
      <w:tblStyleRowBandSize w:val="1"/>
      <w:tblStyleColBandSize w:val="1"/>
    </w:tblPr>
    <w:tcPr>
      <w:shd w:val="clear" w:color="auto" w:fill="F5F4F4" w:themeFill="accent1" w:themeFillTint="19"/>
    </w:tcPr>
    <w:tblStylePr w:type="firstRow">
      <w:rPr>
        <w:b/>
        <w:bCs/>
        <w:color w:val="FFFFFF" w:themeColor="background1"/>
      </w:rPr>
      <w:tblPr/>
      <w:tcPr>
        <w:tcBorders>
          <w:bottom w:val="single" w:sz="12" w:space="0" w:color="FFFFFF" w:themeColor="background1"/>
        </w:tcBorders>
        <w:shd w:val="clear" w:color="auto" w:fill="A45D20" w:themeFill="accent2" w:themeFillShade="CC"/>
      </w:tcPr>
    </w:tblStylePr>
    <w:tblStylePr w:type="lastRow">
      <w:rPr>
        <w:b/>
        <w:bCs/>
        <w:color w:val="A45D20" w:themeColor="accent2" w:themeShade="CC"/>
      </w:rPr>
      <w:tblPr/>
      <w:tcPr>
        <w:tcBorders>
          <w:top w:val="single" w:sz="12" w:space="0" w:color="9B979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5E4" w:themeFill="accent1" w:themeFillTint="3F"/>
      </w:tcPr>
    </w:tblStylePr>
    <w:tblStylePr w:type="band1Horz">
      <w:tblPr/>
      <w:tcPr>
        <w:shd w:val="clear" w:color="auto" w:fill="EBEAE9" w:themeFill="accent1" w:themeFillTint="33"/>
      </w:tcPr>
    </w:tblStylePr>
  </w:style>
  <w:style w:type="table" w:styleId="ColorfulList-Accent2">
    <w:name w:val="Colorful List Accent 2"/>
    <w:basedOn w:val="TableNormal"/>
    <w:uiPriority w:val="72"/>
    <w:rsid w:val="008552F5"/>
    <w:pPr>
      <w:spacing w:after="0" w:line="240" w:lineRule="auto"/>
    </w:pPr>
    <w:rPr>
      <w:color w:val="9B9795" w:themeColor="text1"/>
    </w:rPr>
    <w:tblPr>
      <w:tblStyleRowBandSize w:val="1"/>
      <w:tblStyleColBandSize w:val="1"/>
    </w:tblPr>
    <w:tcPr>
      <w:shd w:val="clear" w:color="auto" w:fill="FAF1E9" w:themeFill="accent2" w:themeFillTint="19"/>
    </w:tcPr>
    <w:tblStylePr w:type="firstRow">
      <w:rPr>
        <w:b/>
        <w:bCs/>
        <w:color w:val="FFFFFF" w:themeColor="background1"/>
      </w:rPr>
      <w:tblPr/>
      <w:tcPr>
        <w:tcBorders>
          <w:bottom w:val="single" w:sz="12" w:space="0" w:color="FFFFFF" w:themeColor="background1"/>
        </w:tcBorders>
        <w:shd w:val="clear" w:color="auto" w:fill="A45D20" w:themeFill="accent2" w:themeFillShade="CC"/>
      </w:tcPr>
    </w:tblStylePr>
    <w:tblStylePr w:type="lastRow">
      <w:rPr>
        <w:b/>
        <w:bCs/>
        <w:color w:val="A45D20" w:themeColor="accent2" w:themeShade="CC"/>
      </w:rPr>
      <w:tblPr/>
      <w:tcPr>
        <w:tcBorders>
          <w:top w:val="single" w:sz="12" w:space="0" w:color="9B979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CC8" w:themeFill="accent2" w:themeFillTint="3F"/>
      </w:tcPr>
    </w:tblStylePr>
    <w:tblStylePr w:type="band1Horz">
      <w:tblPr/>
      <w:tcPr>
        <w:shd w:val="clear" w:color="auto" w:fill="F6E3D2" w:themeFill="accent2" w:themeFillTint="33"/>
      </w:tcPr>
    </w:tblStylePr>
  </w:style>
  <w:style w:type="table" w:styleId="ColorfulList-Accent3">
    <w:name w:val="Colorful List Accent 3"/>
    <w:basedOn w:val="TableNormal"/>
    <w:uiPriority w:val="72"/>
    <w:rsid w:val="008552F5"/>
    <w:pPr>
      <w:spacing w:after="0" w:line="240" w:lineRule="auto"/>
    </w:pPr>
    <w:rPr>
      <w:color w:val="9B9795" w:themeColor="text1"/>
    </w:rPr>
    <w:tblPr>
      <w:tblStyleRowBandSize w:val="1"/>
      <w:tblStyleColBandSize w:val="1"/>
    </w:tblPr>
    <w:tcPr>
      <w:shd w:val="clear" w:color="auto" w:fill="EBF4E8" w:themeFill="accent3" w:themeFillTint="19"/>
    </w:tcPr>
    <w:tblStylePr w:type="firstRow">
      <w:rPr>
        <w:b/>
        <w:bCs/>
        <w:color w:val="FFFFFF" w:themeColor="background1"/>
      </w:rPr>
      <w:tblPr/>
      <w:tcPr>
        <w:tcBorders>
          <w:bottom w:val="single" w:sz="12" w:space="0" w:color="FFFFFF" w:themeColor="background1"/>
        </w:tcBorders>
        <w:shd w:val="clear" w:color="auto" w:fill="80792B" w:themeFill="accent4" w:themeFillShade="CC"/>
      </w:tcPr>
    </w:tblStylePr>
    <w:tblStylePr w:type="lastRow">
      <w:rPr>
        <w:b/>
        <w:bCs/>
        <w:color w:val="80792B" w:themeColor="accent4" w:themeShade="CC"/>
      </w:rPr>
      <w:tblPr/>
      <w:tcPr>
        <w:tcBorders>
          <w:top w:val="single" w:sz="12" w:space="0" w:color="9B979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4C6" w:themeFill="accent3" w:themeFillTint="3F"/>
      </w:tcPr>
    </w:tblStylePr>
    <w:tblStylePr w:type="band1Horz">
      <w:tblPr/>
      <w:tcPr>
        <w:shd w:val="clear" w:color="auto" w:fill="D7E9D0" w:themeFill="accent3" w:themeFillTint="33"/>
      </w:tcPr>
    </w:tblStylePr>
  </w:style>
  <w:style w:type="table" w:styleId="ColorfulList-Accent4">
    <w:name w:val="Colorful List Accent 4"/>
    <w:basedOn w:val="TableNormal"/>
    <w:uiPriority w:val="72"/>
    <w:rsid w:val="008552F5"/>
    <w:pPr>
      <w:spacing w:after="0" w:line="240" w:lineRule="auto"/>
    </w:pPr>
    <w:rPr>
      <w:color w:val="9B9795" w:themeColor="text1"/>
    </w:rPr>
    <w:tblPr>
      <w:tblStyleRowBandSize w:val="1"/>
      <w:tblStyleColBandSize w:val="1"/>
    </w:tblPr>
    <w:tcPr>
      <w:shd w:val="clear" w:color="auto" w:fill="F7F6E9" w:themeFill="accent4" w:themeFillTint="19"/>
    </w:tcPr>
    <w:tblStylePr w:type="firstRow">
      <w:rPr>
        <w:b/>
        <w:bCs/>
        <w:color w:val="FFFFFF" w:themeColor="background1"/>
      </w:rPr>
      <w:tblPr/>
      <w:tcPr>
        <w:tcBorders>
          <w:bottom w:val="single" w:sz="12" w:space="0" w:color="FFFFFF" w:themeColor="background1"/>
        </w:tcBorders>
        <w:shd w:val="clear" w:color="auto" w:fill="3A5D2C" w:themeFill="accent3" w:themeFillShade="CC"/>
      </w:tcPr>
    </w:tblStylePr>
    <w:tblStylePr w:type="lastRow">
      <w:rPr>
        <w:b/>
        <w:bCs/>
        <w:color w:val="3A5D2C" w:themeColor="accent3" w:themeShade="CC"/>
      </w:rPr>
      <w:tblPr/>
      <w:tcPr>
        <w:tcBorders>
          <w:top w:val="single" w:sz="12" w:space="0" w:color="9B979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9C8" w:themeFill="accent4" w:themeFillTint="3F"/>
      </w:tcPr>
    </w:tblStylePr>
    <w:tblStylePr w:type="band1Horz">
      <w:tblPr/>
      <w:tcPr>
        <w:shd w:val="clear" w:color="auto" w:fill="F0EDD2" w:themeFill="accent4" w:themeFillTint="33"/>
      </w:tcPr>
    </w:tblStylePr>
  </w:style>
  <w:style w:type="table" w:styleId="ColorfulList-Accent5">
    <w:name w:val="Colorful List Accent 5"/>
    <w:basedOn w:val="TableNormal"/>
    <w:uiPriority w:val="72"/>
    <w:rsid w:val="008552F5"/>
    <w:pPr>
      <w:spacing w:after="0" w:line="240" w:lineRule="auto"/>
    </w:pPr>
    <w:rPr>
      <w:color w:val="9B9795" w:themeColor="text1"/>
    </w:rPr>
    <w:tblPr>
      <w:tblStyleRowBandSize w:val="1"/>
      <w:tblStyleColBandSize w:val="1"/>
    </w:tblPr>
    <w:tcPr>
      <w:shd w:val="clear" w:color="auto" w:fill="F4E8EB" w:themeFill="accent5" w:themeFillTint="19"/>
    </w:tcPr>
    <w:tblStylePr w:type="firstRow">
      <w:rPr>
        <w:b/>
        <w:bCs/>
        <w:color w:val="FFFFFF" w:themeColor="background1"/>
      </w:rPr>
      <w:tblPr/>
      <w:tcPr>
        <w:tcBorders>
          <w:bottom w:val="single" w:sz="12" w:space="0" w:color="FFFFFF" w:themeColor="background1"/>
        </w:tcBorders>
        <w:shd w:val="clear" w:color="auto" w:fill="C88E0C" w:themeFill="accent6" w:themeFillShade="CC"/>
      </w:tcPr>
    </w:tblStylePr>
    <w:tblStylePr w:type="lastRow">
      <w:rPr>
        <w:b/>
        <w:bCs/>
        <w:color w:val="C88E0C" w:themeColor="accent6" w:themeShade="CC"/>
      </w:rPr>
      <w:tblPr/>
      <w:tcPr>
        <w:tcBorders>
          <w:top w:val="single" w:sz="12" w:space="0" w:color="9B979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C6CE" w:themeFill="accent5" w:themeFillTint="3F"/>
      </w:tcPr>
    </w:tblStylePr>
    <w:tblStylePr w:type="band1Horz">
      <w:tblPr/>
      <w:tcPr>
        <w:shd w:val="clear" w:color="auto" w:fill="E9D0D7" w:themeFill="accent5" w:themeFillTint="33"/>
      </w:tcPr>
    </w:tblStylePr>
  </w:style>
  <w:style w:type="table" w:styleId="ColorfulList-Accent6">
    <w:name w:val="Colorful List Accent 6"/>
    <w:basedOn w:val="TableNormal"/>
    <w:uiPriority w:val="72"/>
    <w:rsid w:val="008552F5"/>
    <w:pPr>
      <w:spacing w:after="0" w:line="240" w:lineRule="auto"/>
    </w:pPr>
    <w:rPr>
      <w:color w:val="9B9795" w:themeColor="text1"/>
    </w:rPr>
    <w:tblPr>
      <w:tblStyleRowBandSize w:val="1"/>
      <w:tblStyleColBandSize w:val="1"/>
    </w:tblPr>
    <w:tcPr>
      <w:shd w:val="clear" w:color="auto" w:fill="FDF7E8" w:themeFill="accent6" w:themeFillTint="19"/>
    </w:tcPr>
    <w:tblStylePr w:type="firstRow">
      <w:rPr>
        <w:b/>
        <w:bCs/>
        <w:color w:val="FFFFFF" w:themeColor="background1"/>
      </w:rPr>
      <w:tblPr/>
      <w:tcPr>
        <w:tcBorders>
          <w:bottom w:val="single" w:sz="12" w:space="0" w:color="FFFFFF" w:themeColor="background1"/>
        </w:tcBorders>
        <w:shd w:val="clear" w:color="auto" w:fill="5D2C3A" w:themeFill="accent5" w:themeFillShade="CC"/>
      </w:tcPr>
    </w:tblStylePr>
    <w:tblStylePr w:type="lastRow">
      <w:rPr>
        <w:b/>
        <w:bCs/>
        <w:color w:val="5D2C3A" w:themeColor="accent5" w:themeShade="CC"/>
      </w:rPr>
      <w:tblPr/>
      <w:tcPr>
        <w:tcBorders>
          <w:top w:val="single" w:sz="12" w:space="0" w:color="9B979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BC6" w:themeFill="accent6" w:themeFillTint="3F"/>
      </w:tcPr>
    </w:tblStylePr>
    <w:tblStylePr w:type="band1Horz">
      <w:tblPr/>
      <w:tcPr>
        <w:shd w:val="clear" w:color="auto" w:fill="FCEED1" w:themeFill="accent6" w:themeFillTint="33"/>
      </w:tcPr>
    </w:tblStylePr>
  </w:style>
  <w:style w:type="table" w:styleId="ColorfulShading">
    <w:name w:val="Colorful Shading"/>
    <w:basedOn w:val="TableNormal"/>
    <w:uiPriority w:val="71"/>
    <w:rsid w:val="008552F5"/>
    <w:pPr>
      <w:spacing w:after="0" w:line="240" w:lineRule="auto"/>
    </w:pPr>
    <w:rPr>
      <w:color w:val="9B9795" w:themeColor="text1"/>
    </w:rPr>
    <w:tblPr>
      <w:tblStyleRowBandSize w:val="1"/>
      <w:tblStyleColBandSize w:val="1"/>
      <w:tblBorders>
        <w:top w:val="single" w:sz="24" w:space="0" w:color="CE7628" w:themeColor="accent2"/>
        <w:left w:val="single" w:sz="4" w:space="0" w:color="9B9795" w:themeColor="text1"/>
        <w:bottom w:val="single" w:sz="4" w:space="0" w:color="9B9795" w:themeColor="text1"/>
        <w:right w:val="single" w:sz="4" w:space="0" w:color="9B9795" w:themeColor="text1"/>
        <w:insideH w:val="single" w:sz="4" w:space="0" w:color="FFFFFF" w:themeColor="background1"/>
        <w:insideV w:val="single" w:sz="4" w:space="0" w:color="FFFFFF" w:themeColor="background1"/>
      </w:tblBorders>
    </w:tblPr>
    <w:tcPr>
      <w:shd w:val="clear" w:color="auto" w:fill="F5F4F4" w:themeFill="text1" w:themeFillTint="19"/>
    </w:tcPr>
    <w:tblStylePr w:type="firstRow">
      <w:rPr>
        <w:b/>
        <w:bCs/>
      </w:rPr>
      <w:tblPr/>
      <w:tcPr>
        <w:tcBorders>
          <w:top w:val="nil"/>
          <w:left w:val="nil"/>
          <w:bottom w:val="single" w:sz="24" w:space="0" w:color="CE762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5A58" w:themeFill="text1" w:themeFillShade="99"/>
      </w:tcPr>
    </w:tblStylePr>
    <w:tblStylePr w:type="firstCol">
      <w:rPr>
        <w:color w:val="FFFFFF" w:themeColor="background1"/>
      </w:rPr>
      <w:tblPr/>
      <w:tcPr>
        <w:tcBorders>
          <w:top w:val="nil"/>
          <w:left w:val="nil"/>
          <w:bottom w:val="nil"/>
          <w:right w:val="nil"/>
          <w:insideH w:val="single" w:sz="4" w:space="0" w:color="5D5A58" w:themeColor="text1" w:themeShade="99"/>
          <w:insideV w:val="nil"/>
        </w:tcBorders>
        <w:shd w:val="clear" w:color="auto" w:fill="5D5A5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75706E" w:themeFill="text1" w:themeFillShade="BF"/>
      </w:tcPr>
    </w:tblStylePr>
    <w:tblStylePr w:type="band1Vert">
      <w:tblPr/>
      <w:tcPr>
        <w:shd w:val="clear" w:color="auto" w:fill="D7D5D4" w:themeFill="text1" w:themeFillTint="66"/>
      </w:tcPr>
    </w:tblStylePr>
    <w:tblStylePr w:type="band1Horz">
      <w:tblPr/>
      <w:tcPr>
        <w:shd w:val="clear" w:color="auto" w:fill="CDCBCA" w:themeFill="text1" w:themeFillTint="7F"/>
      </w:tcPr>
    </w:tblStylePr>
    <w:tblStylePr w:type="neCell">
      <w:rPr>
        <w:color w:val="9B9795" w:themeColor="text1"/>
      </w:rPr>
    </w:tblStylePr>
    <w:tblStylePr w:type="nwCell">
      <w:rPr>
        <w:color w:val="9B9795" w:themeColor="text1"/>
      </w:rPr>
    </w:tblStylePr>
  </w:style>
  <w:style w:type="table" w:styleId="ColorfulShading-Accent1">
    <w:name w:val="Colorful Shading Accent 1"/>
    <w:basedOn w:val="TableNormal"/>
    <w:uiPriority w:val="71"/>
    <w:rsid w:val="008552F5"/>
    <w:pPr>
      <w:spacing w:after="0" w:line="240" w:lineRule="auto"/>
    </w:pPr>
    <w:rPr>
      <w:color w:val="9B9795" w:themeColor="text1"/>
    </w:rPr>
    <w:tblPr>
      <w:tblStyleRowBandSize w:val="1"/>
      <w:tblStyleColBandSize w:val="1"/>
      <w:tblBorders>
        <w:top w:val="single" w:sz="24" w:space="0" w:color="CE7628" w:themeColor="accent2"/>
        <w:left w:val="single" w:sz="4" w:space="0" w:color="9B9795" w:themeColor="accent1"/>
        <w:bottom w:val="single" w:sz="4" w:space="0" w:color="9B9795" w:themeColor="accent1"/>
        <w:right w:val="single" w:sz="4" w:space="0" w:color="9B9795" w:themeColor="accent1"/>
        <w:insideH w:val="single" w:sz="4" w:space="0" w:color="FFFFFF" w:themeColor="background1"/>
        <w:insideV w:val="single" w:sz="4" w:space="0" w:color="FFFFFF" w:themeColor="background1"/>
      </w:tblBorders>
    </w:tblPr>
    <w:tcPr>
      <w:shd w:val="clear" w:color="auto" w:fill="F5F4F4" w:themeFill="accent1" w:themeFillTint="19"/>
    </w:tcPr>
    <w:tblStylePr w:type="firstRow">
      <w:rPr>
        <w:b/>
        <w:bCs/>
      </w:rPr>
      <w:tblPr/>
      <w:tcPr>
        <w:tcBorders>
          <w:top w:val="nil"/>
          <w:left w:val="nil"/>
          <w:bottom w:val="single" w:sz="24" w:space="0" w:color="CE762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5A58" w:themeFill="accent1" w:themeFillShade="99"/>
      </w:tcPr>
    </w:tblStylePr>
    <w:tblStylePr w:type="firstCol">
      <w:rPr>
        <w:color w:val="FFFFFF" w:themeColor="background1"/>
      </w:rPr>
      <w:tblPr/>
      <w:tcPr>
        <w:tcBorders>
          <w:top w:val="nil"/>
          <w:left w:val="nil"/>
          <w:bottom w:val="nil"/>
          <w:right w:val="nil"/>
          <w:insideH w:val="single" w:sz="4" w:space="0" w:color="5D5A58" w:themeColor="accent1" w:themeShade="99"/>
          <w:insideV w:val="nil"/>
        </w:tcBorders>
        <w:shd w:val="clear" w:color="auto" w:fill="5D5A5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D5A58" w:themeFill="accent1" w:themeFillShade="99"/>
      </w:tcPr>
    </w:tblStylePr>
    <w:tblStylePr w:type="band1Vert">
      <w:tblPr/>
      <w:tcPr>
        <w:shd w:val="clear" w:color="auto" w:fill="D7D5D4" w:themeFill="accent1" w:themeFillTint="66"/>
      </w:tcPr>
    </w:tblStylePr>
    <w:tblStylePr w:type="band1Horz">
      <w:tblPr/>
      <w:tcPr>
        <w:shd w:val="clear" w:color="auto" w:fill="CDCBCA" w:themeFill="accent1" w:themeFillTint="7F"/>
      </w:tcPr>
    </w:tblStylePr>
    <w:tblStylePr w:type="neCell">
      <w:rPr>
        <w:color w:val="9B9795" w:themeColor="text1"/>
      </w:rPr>
    </w:tblStylePr>
    <w:tblStylePr w:type="nwCell">
      <w:rPr>
        <w:color w:val="9B9795" w:themeColor="text1"/>
      </w:rPr>
    </w:tblStylePr>
  </w:style>
  <w:style w:type="table" w:styleId="ColorfulShading-Accent2">
    <w:name w:val="Colorful Shading Accent 2"/>
    <w:basedOn w:val="TableNormal"/>
    <w:uiPriority w:val="71"/>
    <w:rsid w:val="008552F5"/>
    <w:pPr>
      <w:spacing w:after="0" w:line="240" w:lineRule="auto"/>
    </w:pPr>
    <w:rPr>
      <w:color w:val="9B9795" w:themeColor="text1"/>
    </w:rPr>
    <w:tblPr>
      <w:tblStyleRowBandSize w:val="1"/>
      <w:tblStyleColBandSize w:val="1"/>
      <w:tblBorders>
        <w:top w:val="single" w:sz="24" w:space="0" w:color="CE7628" w:themeColor="accent2"/>
        <w:left w:val="single" w:sz="4" w:space="0" w:color="CE7628" w:themeColor="accent2"/>
        <w:bottom w:val="single" w:sz="4" w:space="0" w:color="CE7628" w:themeColor="accent2"/>
        <w:right w:val="single" w:sz="4" w:space="0" w:color="CE7628" w:themeColor="accent2"/>
        <w:insideH w:val="single" w:sz="4" w:space="0" w:color="FFFFFF" w:themeColor="background1"/>
        <w:insideV w:val="single" w:sz="4" w:space="0" w:color="FFFFFF" w:themeColor="background1"/>
      </w:tblBorders>
    </w:tblPr>
    <w:tcPr>
      <w:shd w:val="clear" w:color="auto" w:fill="FAF1E9" w:themeFill="accent2" w:themeFillTint="19"/>
    </w:tcPr>
    <w:tblStylePr w:type="firstRow">
      <w:rPr>
        <w:b/>
        <w:bCs/>
      </w:rPr>
      <w:tblPr/>
      <w:tcPr>
        <w:tcBorders>
          <w:top w:val="nil"/>
          <w:left w:val="nil"/>
          <w:bottom w:val="single" w:sz="24" w:space="0" w:color="CE762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B4618" w:themeFill="accent2" w:themeFillShade="99"/>
      </w:tcPr>
    </w:tblStylePr>
    <w:tblStylePr w:type="firstCol">
      <w:rPr>
        <w:color w:val="FFFFFF" w:themeColor="background1"/>
      </w:rPr>
      <w:tblPr/>
      <w:tcPr>
        <w:tcBorders>
          <w:top w:val="nil"/>
          <w:left w:val="nil"/>
          <w:bottom w:val="nil"/>
          <w:right w:val="nil"/>
          <w:insideH w:val="single" w:sz="4" w:space="0" w:color="7B4618" w:themeColor="accent2" w:themeShade="99"/>
          <w:insideV w:val="nil"/>
        </w:tcBorders>
        <w:shd w:val="clear" w:color="auto" w:fill="7B461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B4618" w:themeFill="accent2" w:themeFillShade="99"/>
      </w:tcPr>
    </w:tblStylePr>
    <w:tblStylePr w:type="band1Vert">
      <w:tblPr/>
      <w:tcPr>
        <w:shd w:val="clear" w:color="auto" w:fill="EDC7A6" w:themeFill="accent2" w:themeFillTint="66"/>
      </w:tcPr>
    </w:tblStylePr>
    <w:tblStylePr w:type="band1Horz">
      <w:tblPr/>
      <w:tcPr>
        <w:shd w:val="clear" w:color="auto" w:fill="E9BA90" w:themeFill="accent2" w:themeFillTint="7F"/>
      </w:tcPr>
    </w:tblStylePr>
    <w:tblStylePr w:type="neCell">
      <w:rPr>
        <w:color w:val="9B9795" w:themeColor="text1"/>
      </w:rPr>
    </w:tblStylePr>
    <w:tblStylePr w:type="nwCell">
      <w:rPr>
        <w:color w:val="9B9795" w:themeColor="text1"/>
      </w:rPr>
    </w:tblStylePr>
  </w:style>
  <w:style w:type="table" w:styleId="ColorfulShading-Accent3">
    <w:name w:val="Colorful Shading Accent 3"/>
    <w:basedOn w:val="TableNormal"/>
    <w:uiPriority w:val="71"/>
    <w:rsid w:val="008552F5"/>
    <w:pPr>
      <w:spacing w:after="0" w:line="240" w:lineRule="auto"/>
    </w:pPr>
    <w:rPr>
      <w:color w:val="9B9795" w:themeColor="text1"/>
    </w:rPr>
    <w:tblPr>
      <w:tblStyleRowBandSize w:val="1"/>
      <w:tblStyleColBandSize w:val="1"/>
      <w:tblBorders>
        <w:top w:val="single" w:sz="24" w:space="0" w:color="A19836" w:themeColor="accent4"/>
        <w:left w:val="single" w:sz="4" w:space="0" w:color="497537" w:themeColor="accent3"/>
        <w:bottom w:val="single" w:sz="4" w:space="0" w:color="497537" w:themeColor="accent3"/>
        <w:right w:val="single" w:sz="4" w:space="0" w:color="497537" w:themeColor="accent3"/>
        <w:insideH w:val="single" w:sz="4" w:space="0" w:color="FFFFFF" w:themeColor="background1"/>
        <w:insideV w:val="single" w:sz="4" w:space="0" w:color="FFFFFF" w:themeColor="background1"/>
      </w:tblBorders>
    </w:tblPr>
    <w:tcPr>
      <w:shd w:val="clear" w:color="auto" w:fill="EBF4E8" w:themeFill="accent3" w:themeFillTint="19"/>
    </w:tcPr>
    <w:tblStylePr w:type="firstRow">
      <w:rPr>
        <w:b/>
        <w:bCs/>
      </w:rPr>
      <w:tblPr/>
      <w:tcPr>
        <w:tcBorders>
          <w:top w:val="nil"/>
          <w:left w:val="nil"/>
          <w:bottom w:val="single" w:sz="24" w:space="0" w:color="A1983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4621" w:themeFill="accent3" w:themeFillShade="99"/>
      </w:tcPr>
    </w:tblStylePr>
    <w:tblStylePr w:type="firstCol">
      <w:rPr>
        <w:color w:val="FFFFFF" w:themeColor="background1"/>
      </w:rPr>
      <w:tblPr/>
      <w:tcPr>
        <w:tcBorders>
          <w:top w:val="nil"/>
          <w:left w:val="nil"/>
          <w:bottom w:val="nil"/>
          <w:right w:val="nil"/>
          <w:insideH w:val="single" w:sz="4" w:space="0" w:color="2B4621" w:themeColor="accent3" w:themeShade="99"/>
          <w:insideV w:val="nil"/>
        </w:tcBorders>
        <w:shd w:val="clear" w:color="auto" w:fill="2B462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B4621" w:themeFill="accent3" w:themeFillShade="99"/>
      </w:tcPr>
    </w:tblStylePr>
    <w:tblStylePr w:type="band1Vert">
      <w:tblPr/>
      <w:tcPr>
        <w:shd w:val="clear" w:color="auto" w:fill="B1D3A2" w:themeFill="accent3" w:themeFillTint="66"/>
      </w:tcPr>
    </w:tblStylePr>
    <w:tblStylePr w:type="band1Horz">
      <w:tblPr/>
      <w:tcPr>
        <w:shd w:val="clear" w:color="auto" w:fill="9DC98C" w:themeFill="accent3" w:themeFillTint="7F"/>
      </w:tcPr>
    </w:tblStylePr>
  </w:style>
  <w:style w:type="table" w:styleId="ColorfulShading-Accent4">
    <w:name w:val="Colorful Shading Accent 4"/>
    <w:basedOn w:val="TableNormal"/>
    <w:uiPriority w:val="71"/>
    <w:rsid w:val="008552F5"/>
    <w:pPr>
      <w:spacing w:after="0" w:line="240" w:lineRule="auto"/>
    </w:pPr>
    <w:rPr>
      <w:color w:val="9B9795" w:themeColor="text1"/>
    </w:rPr>
    <w:tblPr>
      <w:tblStyleRowBandSize w:val="1"/>
      <w:tblStyleColBandSize w:val="1"/>
      <w:tblBorders>
        <w:top w:val="single" w:sz="24" w:space="0" w:color="497537" w:themeColor="accent3"/>
        <w:left w:val="single" w:sz="4" w:space="0" w:color="A19836" w:themeColor="accent4"/>
        <w:bottom w:val="single" w:sz="4" w:space="0" w:color="A19836" w:themeColor="accent4"/>
        <w:right w:val="single" w:sz="4" w:space="0" w:color="A19836" w:themeColor="accent4"/>
        <w:insideH w:val="single" w:sz="4" w:space="0" w:color="FFFFFF" w:themeColor="background1"/>
        <w:insideV w:val="single" w:sz="4" w:space="0" w:color="FFFFFF" w:themeColor="background1"/>
      </w:tblBorders>
    </w:tblPr>
    <w:tcPr>
      <w:shd w:val="clear" w:color="auto" w:fill="F7F6E9" w:themeFill="accent4" w:themeFillTint="19"/>
    </w:tcPr>
    <w:tblStylePr w:type="firstRow">
      <w:rPr>
        <w:b/>
        <w:bCs/>
      </w:rPr>
      <w:tblPr/>
      <w:tcPr>
        <w:tcBorders>
          <w:top w:val="nil"/>
          <w:left w:val="nil"/>
          <w:bottom w:val="single" w:sz="24" w:space="0" w:color="49753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20" w:themeFill="accent4" w:themeFillShade="99"/>
      </w:tcPr>
    </w:tblStylePr>
    <w:tblStylePr w:type="firstCol">
      <w:rPr>
        <w:color w:val="FFFFFF" w:themeColor="background1"/>
      </w:rPr>
      <w:tblPr/>
      <w:tcPr>
        <w:tcBorders>
          <w:top w:val="nil"/>
          <w:left w:val="nil"/>
          <w:bottom w:val="nil"/>
          <w:right w:val="nil"/>
          <w:insideH w:val="single" w:sz="4" w:space="0" w:color="605A20" w:themeColor="accent4" w:themeShade="99"/>
          <w:insideV w:val="nil"/>
        </w:tcBorders>
        <w:shd w:val="clear" w:color="auto" w:fill="605A2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05A20" w:themeFill="accent4" w:themeFillShade="99"/>
      </w:tcPr>
    </w:tblStylePr>
    <w:tblStylePr w:type="band1Vert">
      <w:tblPr/>
      <w:tcPr>
        <w:shd w:val="clear" w:color="auto" w:fill="E1DCA6" w:themeFill="accent4" w:themeFillTint="66"/>
      </w:tcPr>
    </w:tblStylePr>
    <w:tblStylePr w:type="band1Horz">
      <w:tblPr/>
      <w:tcPr>
        <w:shd w:val="clear" w:color="auto" w:fill="DAD390" w:themeFill="accent4" w:themeFillTint="7F"/>
      </w:tcPr>
    </w:tblStylePr>
    <w:tblStylePr w:type="neCell">
      <w:rPr>
        <w:color w:val="9B9795" w:themeColor="text1"/>
      </w:rPr>
    </w:tblStylePr>
    <w:tblStylePr w:type="nwCell">
      <w:rPr>
        <w:color w:val="9B9795" w:themeColor="text1"/>
      </w:rPr>
    </w:tblStylePr>
  </w:style>
  <w:style w:type="table" w:styleId="ColorfulShading-Accent5">
    <w:name w:val="Colorful Shading Accent 5"/>
    <w:basedOn w:val="TableNormal"/>
    <w:uiPriority w:val="71"/>
    <w:rsid w:val="008552F5"/>
    <w:pPr>
      <w:spacing w:after="0" w:line="240" w:lineRule="auto"/>
    </w:pPr>
    <w:rPr>
      <w:color w:val="9B9795" w:themeColor="text1"/>
    </w:rPr>
    <w:tblPr>
      <w:tblStyleRowBandSize w:val="1"/>
      <w:tblStyleColBandSize w:val="1"/>
      <w:tblBorders>
        <w:top w:val="single" w:sz="24" w:space="0" w:color="F1AF1A" w:themeColor="accent6"/>
        <w:left w:val="single" w:sz="4" w:space="0" w:color="753749" w:themeColor="accent5"/>
        <w:bottom w:val="single" w:sz="4" w:space="0" w:color="753749" w:themeColor="accent5"/>
        <w:right w:val="single" w:sz="4" w:space="0" w:color="753749" w:themeColor="accent5"/>
        <w:insideH w:val="single" w:sz="4" w:space="0" w:color="FFFFFF" w:themeColor="background1"/>
        <w:insideV w:val="single" w:sz="4" w:space="0" w:color="FFFFFF" w:themeColor="background1"/>
      </w:tblBorders>
    </w:tblPr>
    <w:tcPr>
      <w:shd w:val="clear" w:color="auto" w:fill="F4E8EB" w:themeFill="accent5" w:themeFillTint="19"/>
    </w:tcPr>
    <w:tblStylePr w:type="firstRow">
      <w:rPr>
        <w:b/>
        <w:bCs/>
      </w:rPr>
      <w:tblPr/>
      <w:tcPr>
        <w:tcBorders>
          <w:top w:val="nil"/>
          <w:left w:val="nil"/>
          <w:bottom w:val="single" w:sz="24" w:space="0" w:color="F1AF1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212B" w:themeFill="accent5" w:themeFillShade="99"/>
      </w:tcPr>
    </w:tblStylePr>
    <w:tblStylePr w:type="firstCol">
      <w:rPr>
        <w:color w:val="FFFFFF" w:themeColor="background1"/>
      </w:rPr>
      <w:tblPr/>
      <w:tcPr>
        <w:tcBorders>
          <w:top w:val="nil"/>
          <w:left w:val="nil"/>
          <w:bottom w:val="nil"/>
          <w:right w:val="nil"/>
          <w:insideH w:val="single" w:sz="4" w:space="0" w:color="46212B" w:themeColor="accent5" w:themeShade="99"/>
          <w:insideV w:val="nil"/>
        </w:tcBorders>
        <w:shd w:val="clear" w:color="auto" w:fill="46212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212B" w:themeFill="accent5" w:themeFillShade="99"/>
      </w:tcPr>
    </w:tblStylePr>
    <w:tblStylePr w:type="band1Vert">
      <w:tblPr/>
      <w:tcPr>
        <w:shd w:val="clear" w:color="auto" w:fill="D3A2B1" w:themeFill="accent5" w:themeFillTint="66"/>
      </w:tcPr>
    </w:tblStylePr>
    <w:tblStylePr w:type="band1Horz">
      <w:tblPr/>
      <w:tcPr>
        <w:shd w:val="clear" w:color="auto" w:fill="C98C9D" w:themeFill="accent5" w:themeFillTint="7F"/>
      </w:tcPr>
    </w:tblStylePr>
    <w:tblStylePr w:type="neCell">
      <w:rPr>
        <w:color w:val="9B9795" w:themeColor="text1"/>
      </w:rPr>
    </w:tblStylePr>
    <w:tblStylePr w:type="nwCell">
      <w:rPr>
        <w:color w:val="9B9795" w:themeColor="text1"/>
      </w:rPr>
    </w:tblStylePr>
  </w:style>
  <w:style w:type="table" w:styleId="ColorfulShading-Accent6">
    <w:name w:val="Colorful Shading Accent 6"/>
    <w:basedOn w:val="TableNormal"/>
    <w:uiPriority w:val="71"/>
    <w:rsid w:val="008552F5"/>
    <w:pPr>
      <w:spacing w:after="0" w:line="240" w:lineRule="auto"/>
    </w:pPr>
    <w:rPr>
      <w:color w:val="9B9795" w:themeColor="text1"/>
    </w:rPr>
    <w:tblPr>
      <w:tblStyleRowBandSize w:val="1"/>
      <w:tblStyleColBandSize w:val="1"/>
      <w:tblBorders>
        <w:top w:val="single" w:sz="24" w:space="0" w:color="753749" w:themeColor="accent5"/>
        <w:left w:val="single" w:sz="4" w:space="0" w:color="F1AF1A" w:themeColor="accent6"/>
        <w:bottom w:val="single" w:sz="4" w:space="0" w:color="F1AF1A" w:themeColor="accent6"/>
        <w:right w:val="single" w:sz="4" w:space="0" w:color="F1AF1A" w:themeColor="accent6"/>
        <w:insideH w:val="single" w:sz="4" w:space="0" w:color="FFFFFF" w:themeColor="background1"/>
        <w:insideV w:val="single" w:sz="4" w:space="0" w:color="FFFFFF" w:themeColor="background1"/>
      </w:tblBorders>
    </w:tblPr>
    <w:tcPr>
      <w:shd w:val="clear" w:color="auto" w:fill="FDF7E8" w:themeFill="accent6" w:themeFillTint="19"/>
    </w:tcPr>
    <w:tblStylePr w:type="firstRow">
      <w:rPr>
        <w:b/>
        <w:bCs/>
      </w:rPr>
      <w:tblPr/>
      <w:tcPr>
        <w:tcBorders>
          <w:top w:val="nil"/>
          <w:left w:val="nil"/>
          <w:bottom w:val="single" w:sz="24" w:space="0" w:color="75374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66A09" w:themeFill="accent6" w:themeFillShade="99"/>
      </w:tcPr>
    </w:tblStylePr>
    <w:tblStylePr w:type="firstCol">
      <w:rPr>
        <w:color w:val="FFFFFF" w:themeColor="background1"/>
      </w:rPr>
      <w:tblPr/>
      <w:tcPr>
        <w:tcBorders>
          <w:top w:val="nil"/>
          <w:left w:val="nil"/>
          <w:bottom w:val="nil"/>
          <w:right w:val="nil"/>
          <w:insideH w:val="single" w:sz="4" w:space="0" w:color="966A09" w:themeColor="accent6" w:themeShade="99"/>
          <w:insideV w:val="nil"/>
        </w:tcBorders>
        <w:shd w:val="clear" w:color="auto" w:fill="966A0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66A09" w:themeFill="accent6" w:themeFillShade="99"/>
      </w:tcPr>
    </w:tblStylePr>
    <w:tblStylePr w:type="band1Vert">
      <w:tblPr/>
      <w:tcPr>
        <w:shd w:val="clear" w:color="auto" w:fill="F9DEA3" w:themeFill="accent6" w:themeFillTint="66"/>
      </w:tcPr>
    </w:tblStylePr>
    <w:tblStylePr w:type="band1Horz">
      <w:tblPr/>
      <w:tcPr>
        <w:shd w:val="clear" w:color="auto" w:fill="F8D68C" w:themeFill="accent6" w:themeFillTint="7F"/>
      </w:tcPr>
    </w:tblStylePr>
    <w:tblStylePr w:type="neCell">
      <w:rPr>
        <w:color w:val="9B9795" w:themeColor="text1"/>
      </w:rPr>
    </w:tblStylePr>
    <w:tblStylePr w:type="nwCell">
      <w:rPr>
        <w:color w:val="9B9795" w:themeColor="text1"/>
      </w:rPr>
    </w:tblStylePr>
  </w:style>
  <w:style w:type="character" w:styleId="CommentReference">
    <w:name w:val="annotation reference"/>
    <w:uiPriority w:val="19"/>
    <w:semiHidden/>
    <w:rsid w:val="00AF2717"/>
    <w:rPr>
      <w:sz w:val="16"/>
      <w:szCs w:val="16"/>
    </w:rPr>
  </w:style>
  <w:style w:type="paragraph" w:styleId="CommentSubject">
    <w:name w:val="annotation subject"/>
    <w:basedOn w:val="CommentText"/>
    <w:next w:val="CommentText"/>
    <w:link w:val="CommentSubjectChar"/>
    <w:uiPriority w:val="19"/>
    <w:semiHidden/>
    <w:rsid w:val="00AF2717"/>
    <w:rPr>
      <w:b/>
      <w:bCs/>
    </w:rPr>
  </w:style>
  <w:style w:type="character" w:customStyle="1" w:styleId="CommentSubjectChar">
    <w:name w:val="Comment Subject Char"/>
    <w:basedOn w:val="CommentTextChar"/>
    <w:link w:val="CommentSubject"/>
    <w:uiPriority w:val="19"/>
    <w:semiHidden/>
    <w:rsid w:val="00284A93"/>
    <w:rPr>
      <w:rFonts w:ascii="Calibri" w:eastAsia="Times New Roman" w:hAnsi="Calibri" w:cs="Times New Roman"/>
      <w:b/>
      <w:bCs/>
      <w:sz w:val="22"/>
    </w:rPr>
  </w:style>
  <w:style w:type="table" w:styleId="DarkList">
    <w:name w:val="Dark List"/>
    <w:basedOn w:val="TableNormal"/>
    <w:uiPriority w:val="70"/>
    <w:rsid w:val="008552F5"/>
    <w:pPr>
      <w:spacing w:after="0" w:line="240" w:lineRule="auto"/>
    </w:pPr>
    <w:rPr>
      <w:color w:val="FFFFFF" w:themeColor="background1"/>
    </w:rPr>
    <w:tblPr>
      <w:tblStyleRowBandSize w:val="1"/>
      <w:tblStyleColBandSize w:val="1"/>
    </w:tblPr>
    <w:tcPr>
      <w:shd w:val="clear" w:color="auto" w:fill="9B9795" w:themeFill="text1"/>
    </w:tcPr>
    <w:tblStylePr w:type="firstRow">
      <w:rPr>
        <w:b/>
        <w:bCs/>
      </w:rPr>
      <w:tblPr/>
      <w:tcPr>
        <w:tcBorders>
          <w:top w:val="nil"/>
          <w:left w:val="nil"/>
          <w:bottom w:val="single" w:sz="18" w:space="0" w:color="FFFFFF" w:themeColor="background1"/>
          <w:right w:val="nil"/>
          <w:insideH w:val="nil"/>
          <w:insideV w:val="nil"/>
        </w:tcBorders>
        <w:shd w:val="clear" w:color="auto" w:fill="9B9795" w:themeFill="text1"/>
      </w:tcPr>
    </w:tblStylePr>
    <w:tblStylePr w:type="lastRow">
      <w:tblPr/>
      <w:tcPr>
        <w:tcBorders>
          <w:top w:val="single" w:sz="18" w:space="0" w:color="FFFFFF" w:themeColor="background1"/>
          <w:left w:val="nil"/>
          <w:bottom w:val="nil"/>
          <w:right w:val="nil"/>
          <w:insideH w:val="nil"/>
          <w:insideV w:val="nil"/>
        </w:tcBorders>
        <w:shd w:val="clear" w:color="auto" w:fill="4D4A49"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75706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75706E" w:themeFill="text1" w:themeFillShade="BF"/>
      </w:tcPr>
    </w:tblStylePr>
    <w:tblStylePr w:type="band1Vert">
      <w:tblPr/>
      <w:tcPr>
        <w:tcBorders>
          <w:top w:val="nil"/>
          <w:left w:val="nil"/>
          <w:bottom w:val="nil"/>
          <w:right w:val="nil"/>
          <w:insideH w:val="nil"/>
          <w:insideV w:val="nil"/>
        </w:tcBorders>
        <w:shd w:val="clear" w:color="auto" w:fill="75706E" w:themeFill="text1" w:themeFillShade="BF"/>
      </w:tcPr>
    </w:tblStylePr>
    <w:tblStylePr w:type="band1Horz">
      <w:tblPr/>
      <w:tcPr>
        <w:tcBorders>
          <w:top w:val="nil"/>
          <w:left w:val="nil"/>
          <w:bottom w:val="nil"/>
          <w:right w:val="nil"/>
          <w:insideH w:val="nil"/>
          <w:insideV w:val="nil"/>
        </w:tcBorders>
        <w:shd w:val="clear" w:color="auto" w:fill="75706E" w:themeFill="text1" w:themeFillShade="BF"/>
      </w:tcPr>
    </w:tblStylePr>
  </w:style>
  <w:style w:type="table" w:styleId="DarkList-Accent1">
    <w:name w:val="Dark List Accent 1"/>
    <w:basedOn w:val="TableNormal"/>
    <w:uiPriority w:val="70"/>
    <w:rsid w:val="008552F5"/>
    <w:pPr>
      <w:spacing w:after="0" w:line="240" w:lineRule="auto"/>
    </w:pPr>
    <w:rPr>
      <w:color w:val="FFFFFF" w:themeColor="background1"/>
    </w:rPr>
    <w:tblPr>
      <w:tblStyleRowBandSize w:val="1"/>
      <w:tblStyleColBandSize w:val="1"/>
    </w:tblPr>
    <w:tcPr>
      <w:shd w:val="clear" w:color="auto" w:fill="9B979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9B9795" w:themeFill="text1"/>
      </w:tcPr>
    </w:tblStylePr>
    <w:tblStylePr w:type="lastRow">
      <w:tblPr/>
      <w:tcPr>
        <w:tcBorders>
          <w:top w:val="single" w:sz="18" w:space="0" w:color="FFFFFF" w:themeColor="background1"/>
          <w:left w:val="nil"/>
          <w:bottom w:val="nil"/>
          <w:right w:val="nil"/>
          <w:insideH w:val="nil"/>
          <w:insideV w:val="nil"/>
        </w:tcBorders>
        <w:shd w:val="clear" w:color="auto" w:fill="4D4A4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5706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5706E" w:themeFill="accent1" w:themeFillShade="BF"/>
      </w:tcPr>
    </w:tblStylePr>
    <w:tblStylePr w:type="band1Vert">
      <w:tblPr/>
      <w:tcPr>
        <w:tcBorders>
          <w:top w:val="nil"/>
          <w:left w:val="nil"/>
          <w:bottom w:val="nil"/>
          <w:right w:val="nil"/>
          <w:insideH w:val="nil"/>
          <w:insideV w:val="nil"/>
        </w:tcBorders>
        <w:shd w:val="clear" w:color="auto" w:fill="75706E" w:themeFill="accent1" w:themeFillShade="BF"/>
      </w:tcPr>
    </w:tblStylePr>
    <w:tblStylePr w:type="band1Horz">
      <w:tblPr/>
      <w:tcPr>
        <w:tcBorders>
          <w:top w:val="nil"/>
          <w:left w:val="nil"/>
          <w:bottom w:val="nil"/>
          <w:right w:val="nil"/>
          <w:insideH w:val="nil"/>
          <w:insideV w:val="nil"/>
        </w:tcBorders>
        <w:shd w:val="clear" w:color="auto" w:fill="75706E" w:themeFill="accent1" w:themeFillShade="BF"/>
      </w:tcPr>
    </w:tblStylePr>
  </w:style>
  <w:style w:type="table" w:styleId="DarkList-Accent2">
    <w:name w:val="Dark List Accent 2"/>
    <w:basedOn w:val="TableNormal"/>
    <w:uiPriority w:val="70"/>
    <w:rsid w:val="008552F5"/>
    <w:pPr>
      <w:spacing w:after="0" w:line="240" w:lineRule="auto"/>
    </w:pPr>
    <w:rPr>
      <w:color w:val="FFFFFF" w:themeColor="background1"/>
    </w:rPr>
    <w:tblPr>
      <w:tblStyleRowBandSize w:val="1"/>
      <w:tblStyleColBandSize w:val="1"/>
    </w:tblPr>
    <w:tcPr>
      <w:shd w:val="clear" w:color="auto" w:fill="CE762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9B9795" w:themeFill="text1"/>
      </w:tcPr>
    </w:tblStylePr>
    <w:tblStylePr w:type="lastRow">
      <w:tblPr/>
      <w:tcPr>
        <w:tcBorders>
          <w:top w:val="single" w:sz="18" w:space="0" w:color="FFFFFF" w:themeColor="background1"/>
          <w:left w:val="nil"/>
          <w:bottom w:val="nil"/>
          <w:right w:val="nil"/>
          <w:insideH w:val="nil"/>
          <w:insideV w:val="nil"/>
        </w:tcBorders>
        <w:shd w:val="clear" w:color="auto" w:fill="663A1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A571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A571E" w:themeFill="accent2" w:themeFillShade="BF"/>
      </w:tcPr>
    </w:tblStylePr>
    <w:tblStylePr w:type="band1Vert">
      <w:tblPr/>
      <w:tcPr>
        <w:tcBorders>
          <w:top w:val="nil"/>
          <w:left w:val="nil"/>
          <w:bottom w:val="nil"/>
          <w:right w:val="nil"/>
          <w:insideH w:val="nil"/>
          <w:insideV w:val="nil"/>
        </w:tcBorders>
        <w:shd w:val="clear" w:color="auto" w:fill="9A571E" w:themeFill="accent2" w:themeFillShade="BF"/>
      </w:tcPr>
    </w:tblStylePr>
    <w:tblStylePr w:type="band1Horz">
      <w:tblPr/>
      <w:tcPr>
        <w:tcBorders>
          <w:top w:val="nil"/>
          <w:left w:val="nil"/>
          <w:bottom w:val="nil"/>
          <w:right w:val="nil"/>
          <w:insideH w:val="nil"/>
          <w:insideV w:val="nil"/>
        </w:tcBorders>
        <w:shd w:val="clear" w:color="auto" w:fill="9A571E" w:themeFill="accent2" w:themeFillShade="BF"/>
      </w:tcPr>
    </w:tblStylePr>
  </w:style>
  <w:style w:type="table" w:styleId="DarkList-Accent3">
    <w:name w:val="Dark List Accent 3"/>
    <w:basedOn w:val="TableNormal"/>
    <w:uiPriority w:val="70"/>
    <w:rsid w:val="008552F5"/>
    <w:pPr>
      <w:spacing w:after="0" w:line="240" w:lineRule="auto"/>
    </w:pPr>
    <w:rPr>
      <w:color w:val="FFFFFF" w:themeColor="background1"/>
    </w:rPr>
    <w:tblPr>
      <w:tblStyleRowBandSize w:val="1"/>
      <w:tblStyleColBandSize w:val="1"/>
    </w:tblPr>
    <w:tcPr>
      <w:shd w:val="clear" w:color="auto" w:fill="49753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9B9795" w:themeFill="text1"/>
      </w:tcPr>
    </w:tblStylePr>
    <w:tblStylePr w:type="lastRow">
      <w:tblPr/>
      <w:tcPr>
        <w:tcBorders>
          <w:top w:val="single" w:sz="18" w:space="0" w:color="FFFFFF" w:themeColor="background1"/>
          <w:left w:val="nil"/>
          <w:bottom w:val="nil"/>
          <w:right w:val="nil"/>
          <w:insideH w:val="nil"/>
          <w:insideV w:val="nil"/>
        </w:tcBorders>
        <w:shd w:val="clear" w:color="auto" w:fill="243A1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6572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65729" w:themeFill="accent3" w:themeFillShade="BF"/>
      </w:tcPr>
    </w:tblStylePr>
    <w:tblStylePr w:type="band1Vert">
      <w:tblPr/>
      <w:tcPr>
        <w:tcBorders>
          <w:top w:val="nil"/>
          <w:left w:val="nil"/>
          <w:bottom w:val="nil"/>
          <w:right w:val="nil"/>
          <w:insideH w:val="nil"/>
          <w:insideV w:val="nil"/>
        </w:tcBorders>
        <w:shd w:val="clear" w:color="auto" w:fill="365729" w:themeFill="accent3" w:themeFillShade="BF"/>
      </w:tcPr>
    </w:tblStylePr>
    <w:tblStylePr w:type="band1Horz">
      <w:tblPr/>
      <w:tcPr>
        <w:tcBorders>
          <w:top w:val="nil"/>
          <w:left w:val="nil"/>
          <w:bottom w:val="nil"/>
          <w:right w:val="nil"/>
          <w:insideH w:val="nil"/>
          <w:insideV w:val="nil"/>
        </w:tcBorders>
        <w:shd w:val="clear" w:color="auto" w:fill="365729" w:themeFill="accent3" w:themeFillShade="BF"/>
      </w:tcPr>
    </w:tblStylePr>
  </w:style>
  <w:style w:type="table" w:styleId="DarkList-Accent4">
    <w:name w:val="Dark List Accent 4"/>
    <w:basedOn w:val="TableNormal"/>
    <w:uiPriority w:val="70"/>
    <w:rsid w:val="008552F5"/>
    <w:pPr>
      <w:spacing w:after="0" w:line="240" w:lineRule="auto"/>
    </w:pPr>
    <w:rPr>
      <w:color w:val="FFFFFF" w:themeColor="background1"/>
    </w:rPr>
    <w:tblPr>
      <w:tblStyleRowBandSize w:val="1"/>
      <w:tblStyleColBandSize w:val="1"/>
    </w:tblPr>
    <w:tcPr>
      <w:shd w:val="clear" w:color="auto" w:fill="A1983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9B9795" w:themeFill="text1"/>
      </w:tcPr>
    </w:tblStylePr>
    <w:tblStylePr w:type="lastRow">
      <w:tblPr/>
      <w:tcPr>
        <w:tcBorders>
          <w:top w:val="single" w:sz="18" w:space="0" w:color="FFFFFF" w:themeColor="background1"/>
          <w:left w:val="nil"/>
          <w:bottom w:val="nil"/>
          <w:right w:val="nil"/>
          <w:insideH w:val="nil"/>
          <w:insideV w:val="nil"/>
        </w:tcBorders>
        <w:shd w:val="clear" w:color="auto" w:fill="504B1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8712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87128" w:themeFill="accent4" w:themeFillShade="BF"/>
      </w:tcPr>
    </w:tblStylePr>
    <w:tblStylePr w:type="band1Vert">
      <w:tblPr/>
      <w:tcPr>
        <w:tcBorders>
          <w:top w:val="nil"/>
          <w:left w:val="nil"/>
          <w:bottom w:val="nil"/>
          <w:right w:val="nil"/>
          <w:insideH w:val="nil"/>
          <w:insideV w:val="nil"/>
        </w:tcBorders>
        <w:shd w:val="clear" w:color="auto" w:fill="787128" w:themeFill="accent4" w:themeFillShade="BF"/>
      </w:tcPr>
    </w:tblStylePr>
    <w:tblStylePr w:type="band1Horz">
      <w:tblPr/>
      <w:tcPr>
        <w:tcBorders>
          <w:top w:val="nil"/>
          <w:left w:val="nil"/>
          <w:bottom w:val="nil"/>
          <w:right w:val="nil"/>
          <w:insideH w:val="nil"/>
          <w:insideV w:val="nil"/>
        </w:tcBorders>
        <w:shd w:val="clear" w:color="auto" w:fill="787128" w:themeFill="accent4" w:themeFillShade="BF"/>
      </w:tcPr>
    </w:tblStylePr>
  </w:style>
  <w:style w:type="table" w:styleId="DarkList-Accent5">
    <w:name w:val="Dark List Accent 5"/>
    <w:basedOn w:val="TableNormal"/>
    <w:uiPriority w:val="70"/>
    <w:rsid w:val="008552F5"/>
    <w:pPr>
      <w:spacing w:after="0" w:line="240" w:lineRule="auto"/>
    </w:pPr>
    <w:rPr>
      <w:color w:val="FFFFFF" w:themeColor="background1"/>
    </w:rPr>
    <w:tblPr>
      <w:tblStyleRowBandSize w:val="1"/>
      <w:tblStyleColBandSize w:val="1"/>
    </w:tblPr>
    <w:tcPr>
      <w:shd w:val="clear" w:color="auto" w:fill="75374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9B9795" w:themeFill="text1"/>
      </w:tcPr>
    </w:tblStylePr>
    <w:tblStylePr w:type="lastRow">
      <w:tblPr/>
      <w:tcPr>
        <w:tcBorders>
          <w:top w:val="single" w:sz="18" w:space="0" w:color="FFFFFF" w:themeColor="background1"/>
          <w:left w:val="nil"/>
          <w:bottom w:val="nil"/>
          <w:right w:val="nil"/>
          <w:insideH w:val="nil"/>
          <w:insideV w:val="nil"/>
        </w:tcBorders>
        <w:shd w:val="clear" w:color="auto" w:fill="3A1B2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293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2936" w:themeFill="accent5" w:themeFillShade="BF"/>
      </w:tcPr>
    </w:tblStylePr>
    <w:tblStylePr w:type="band1Vert">
      <w:tblPr/>
      <w:tcPr>
        <w:tcBorders>
          <w:top w:val="nil"/>
          <w:left w:val="nil"/>
          <w:bottom w:val="nil"/>
          <w:right w:val="nil"/>
          <w:insideH w:val="nil"/>
          <w:insideV w:val="nil"/>
        </w:tcBorders>
        <w:shd w:val="clear" w:color="auto" w:fill="572936" w:themeFill="accent5" w:themeFillShade="BF"/>
      </w:tcPr>
    </w:tblStylePr>
    <w:tblStylePr w:type="band1Horz">
      <w:tblPr/>
      <w:tcPr>
        <w:tcBorders>
          <w:top w:val="nil"/>
          <w:left w:val="nil"/>
          <w:bottom w:val="nil"/>
          <w:right w:val="nil"/>
          <w:insideH w:val="nil"/>
          <w:insideV w:val="nil"/>
        </w:tcBorders>
        <w:shd w:val="clear" w:color="auto" w:fill="572936" w:themeFill="accent5" w:themeFillShade="BF"/>
      </w:tcPr>
    </w:tblStylePr>
  </w:style>
  <w:style w:type="table" w:styleId="DarkList-Accent6">
    <w:name w:val="Dark List Accent 6"/>
    <w:basedOn w:val="TableNormal"/>
    <w:uiPriority w:val="70"/>
    <w:rsid w:val="008552F5"/>
    <w:pPr>
      <w:spacing w:after="0" w:line="240" w:lineRule="auto"/>
    </w:pPr>
    <w:rPr>
      <w:color w:val="FFFFFF" w:themeColor="background1"/>
    </w:rPr>
    <w:tblPr>
      <w:tblStyleRowBandSize w:val="1"/>
      <w:tblStyleColBandSize w:val="1"/>
    </w:tblPr>
    <w:tcPr>
      <w:shd w:val="clear" w:color="auto" w:fill="F1AF1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9B9795" w:themeFill="text1"/>
      </w:tcPr>
    </w:tblStylePr>
    <w:tblStylePr w:type="lastRow">
      <w:tblPr/>
      <w:tcPr>
        <w:tcBorders>
          <w:top w:val="single" w:sz="18" w:space="0" w:color="FFFFFF" w:themeColor="background1"/>
          <w:left w:val="nil"/>
          <w:bottom w:val="nil"/>
          <w:right w:val="nil"/>
          <w:insideH w:val="nil"/>
          <w:insideV w:val="nil"/>
        </w:tcBorders>
        <w:shd w:val="clear" w:color="auto" w:fill="7C580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C850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C850B" w:themeFill="accent6" w:themeFillShade="BF"/>
      </w:tcPr>
    </w:tblStylePr>
    <w:tblStylePr w:type="band1Vert">
      <w:tblPr/>
      <w:tcPr>
        <w:tcBorders>
          <w:top w:val="nil"/>
          <w:left w:val="nil"/>
          <w:bottom w:val="nil"/>
          <w:right w:val="nil"/>
          <w:insideH w:val="nil"/>
          <w:insideV w:val="nil"/>
        </w:tcBorders>
        <w:shd w:val="clear" w:color="auto" w:fill="BC850B" w:themeFill="accent6" w:themeFillShade="BF"/>
      </w:tcPr>
    </w:tblStylePr>
    <w:tblStylePr w:type="band1Horz">
      <w:tblPr/>
      <w:tcPr>
        <w:tcBorders>
          <w:top w:val="nil"/>
          <w:left w:val="nil"/>
          <w:bottom w:val="nil"/>
          <w:right w:val="nil"/>
          <w:insideH w:val="nil"/>
          <w:insideV w:val="nil"/>
        </w:tcBorders>
        <w:shd w:val="clear" w:color="auto" w:fill="BC850B" w:themeFill="accent6" w:themeFillShade="BF"/>
      </w:tcPr>
    </w:tblStylePr>
  </w:style>
  <w:style w:type="paragraph" w:styleId="DocumentMap">
    <w:name w:val="Document Map"/>
    <w:basedOn w:val="Normal"/>
    <w:link w:val="DocumentMapChar"/>
    <w:uiPriority w:val="99"/>
    <w:semiHidden/>
    <w:unhideWhenUsed/>
    <w:rsid w:val="00B200AF"/>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B200AF"/>
    <w:rPr>
      <w:rFonts w:ascii="Tahoma" w:hAnsi="Tahoma" w:cs="Tahoma"/>
      <w:sz w:val="16"/>
      <w:szCs w:val="16"/>
      <w:lang w:val="en-AU"/>
    </w:rPr>
  </w:style>
  <w:style w:type="paragraph" w:styleId="E-mailSignature">
    <w:name w:val="E-mail Signature"/>
    <w:basedOn w:val="Normal"/>
    <w:link w:val="E-mailSignatureChar"/>
    <w:uiPriority w:val="99"/>
    <w:semiHidden/>
    <w:unhideWhenUsed/>
    <w:rsid w:val="00B200AF"/>
    <w:pPr>
      <w:spacing w:after="0"/>
    </w:pPr>
  </w:style>
  <w:style w:type="character" w:customStyle="1" w:styleId="E-mailSignatureChar">
    <w:name w:val="E-mail Signature Char"/>
    <w:basedOn w:val="DefaultParagraphFont"/>
    <w:link w:val="E-mailSignature"/>
    <w:uiPriority w:val="99"/>
    <w:semiHidden/>
    <w:rsid w:val="00B200AF"/>
    <w:rPr>
      <w:rFonts w:ascii="Arial" w:hAnsi="Arial"/>
      <w:sz w:val="20"/>
      <w:lang w:val="en-AU"/>
    </w:rPr>
  </w:style>
  <w:style w:type="character" w:styleId="Emphasis">
    <w:name w:val="Emphasis"/>
    <w:basedOn w:val="DefaultParagraphFont"/>
    <w:uiPriority w:val="20"/>
    <w:semiHidden/>
    <w:qFormat/>
    <w:rsid w:val="00840060"/>
    <w:rPr>
      <w:i/>
      <w:iCs/>
    </w:rPr>
  </w:style>
  <w:style w:type="character" w:styleId="EndnoteReference">
    <w:name w:val="endnote reference"/>
    <w:basedOn w:val="DefaultParagraphFont"/>
    <w:uiPriority w:val="99"/>
    <w:semiHidden/>
    <w:unhideWhenUsed/>
    <w:rsid w:val="00B200AF"/>
    <w:rPr>
      <w:vertAlign w:val="superscript"/>
    </w:rPr>
  </w:style>
  <w:style w:type="paragraph" w:styleId="EndnoteText">
    <w:name w:val="endnote text"/>
    <w:basedOn w:val="Normal"/>
    <w:link w:val="EndnoteTextChar"/>
    <w:uiPriority w:val="99"/>
    <w:semiHidden/>
    <w:unhideWhenUsed/>
    <w:rsid w:val="00B200AF"/>
    <w:pPr>
      <w:spacing w:after="0"/>
    </w:pPr>
  </w:style>
  <w:style w:type="character" w:customStyle="1" w:styleId="EndnoteTextChar">
    <w:name w:val="Endnote Text Char"/>
    <w:basedOn w:val="DefaultParagraphFont"/>
    <w:link w:val="EndnoteText"/>
    <w:uiPriority w:val="99"/>
    <w:semiHidden/>
    <w:rsid w:val="00B200AF"/>
    <w:rPr>
      <w:rFonts w:ascii="Arial" w:hAnsi="Arial"/>
      <w:sz w:val="20"/>
      <w:szCs w:val="20"/>
      <w:lang w:val="en-AU"/>
    </w:rPr>
  </w:style>
  <w:style w:type="paragraph" w:styleId="EnvelopeAddress">
    <w:name w:val="envelope address"/>
    <w:basedOn w:val="Normal"/>
    <w:uiPriority w:val="99"/>
    <w:semiHidden/>
    <w:unhideWhenUsed/>
    <w:rsid w:val="00B200A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200AF"/>
    <w:pPr>
      <w:spacing w:after="0"/>
    </w:pPr>
    <w:rPr>
      <w:rFonts w:asciiTheme="majorHAnsi" w:eastAsiaTheme="majorEastAsia" w:hAnsiTheme="majorHAnsi" w:cstheme="majorBidi"/>
    </w:rPr>
  </w:style>
  <w:style w:type="character" w:styleId="FollowedHyperlink">
    <w:name w:val="FollowedHyperlink"/>
    <w:basedOn w:val="DefaultParagraphFont"/>
    <w:uiPriority w:val="99"/>
    <w:semiHidden/>
    <w:rsid w:val="00B200AF"/>
    <w:rPr>
      <w:color w:val="497537" w:themeColor="followedHyperlink"/>
      <w:u w:val="single"/>
    </w:rPr>
  </w:style>
  <w:style w:type="character" w:customStyle="1" w:styleId="Heading5Char">
    <w:name w:val="Heading 5 Char"/>
    <w:aliases w:val="Paragraph Text Char"/>
    <w:link w:val="Heading5"/>
    <w:uiPriority w:val="1"/>
    <w:rsid w:val="00D47CCA"/>
    <w:rPr>
      <w:rFonts w:ascii="Century Gothic" w:eastAsia="Times New Roman" w:hAnsi="Century Gothic" w:cs="Times New Roman"/>
      <w:szCs w:val="44"/>
    </w:rPr>
  </w:style>
  <w:style w:type="character" w:customStyle="1" w:styleId="Heading6Char">
    <w:name w:val="Heading 6 Char"/>
    <w:aliases w:val="level 1 bullet 1 Char"/>
    <w:link w:val="Heading6"/>
    <w:uiPriority w:val="5"/>
    <w:rsid w:val="00A50D95"/>
    <w:rPr>
      <w:rFonts w:ascii="Calibri" w:eastAsia="Times New Roman" w:hAnsi="Calibri" w:cs="Times New Roman"/>
      <w:sz w:val="22"/>
      <w:szCs w:val="44"/>
    </w:rPr>
  </w:style>
  <w:style w:type="character" w:customStyle="1" w:styleId="Heading7Char">
    <w:name w:val="Heading 7 Char"/>
    <w:aliases w:val="Bullet 2 Char"/>
    <w:basedOn w:val="DefaultParagraphFont"/>
    <w:link w:val="Heading7"/>
    <w:uiPriority w:val="5"/>
    <w:rsid w:val="00E93FD0"/>
    <w:rPr>
      <w:rFonts w:ascii="Century Gothic" w:eastAsia="Times New Roman" w:hAnsi="Century Gothic" w:cs="Times New Roman"/>
    </w:rPr>
  </w:style>
  <w:style w:type="character" w:customStyle="1" w:styleId="Heading8Char">
    <w:name w:val="Heading 8 Char"/>
    <w:aliases w:val="Bullet 3 Char"/>
    <w:basedOn w:val="DefaultParagraphFont"/>
    <w:link w:val="Heading8"/>
    <w:uiPriority w:val="5"/>
    <w:rsid w:val="006B5418"/>
    <w:rPr>
      <w:rFonts w:ascii="Calibri" w:eastAsia="Times New Roman" w:hAnsi="Calibri" w:cs="Times New Roman"/>
      <w:sz w:val="22"/>
      <w:szCs w:val="44"/>
    </w:rPr>
  </w:style>
  <w:style w:type="character" w:customStyle="1" w:styleId="Heading9Char">
    <w:name w:val="Heading 9 Char"/>
    <w:aliases w:val="Bullet Heading Char"/>
    <w:basedOn w:val="DefaultParagraphFont"/>
    <w:link w:val="Heading9"/>
    <w:uiPriority w:val="3"/>
    <w:rsid w:val="006B5418"/>
    <w:rPr>
      <w:rFonts w:ascii="Candara" w:eastAsia="Times New Roman" w:hAnsi="Candara" w:cs="Times New Roman"/>
      <w:i/>
      <w:sz w:val="24"/>
    </w:rPr>
  </w:style>
  <w:style w:type="character" w:styleId="HTMLAcronym">
    <w:name w:val="HTML Acronym"/>
    <w:basedOn w:val="DefaultParagraphFont"/>
    <w:uiPriority w:val="99"/>
    <w:semiHidden/>
    <w:unhideWhenUsed/>
    <w:rsid w:val="00B200AF"/>
  </w:style>
  <w:style w:type="paragraph" w:styleId="HTMLAddress">
    <w:name w:val="HTML Address"/>
    <w:basedOn w:val="Normal"/>
    <w:link w:val="HTMLAddressChar"/>
    <w:uiPriority w:val="99"/>
    <w:semiHidden/>
    <w:unhideWhenUsed/>
    <w:rsid w:val="00B200AF"/>
    <w:pPr>
      <w:spacing w:after="0"/>
    </w:pPr>
    <w:rPr>
      <w:i/>
      <w:iCs/>
    </w:rPr>
  </w:style>
  <w:style w:type="character" w:customStyle="1" w:styleId="HTMLAddressChar">
    <w:name w:val="HTML Address Char"/>
    <w:basedOn w:val="DefaultParagraphFont"/>
    <w:link w:val="HTMLAddress"/>
    <w:uiPriority w:val="99"/>
    <w:semiHidden/>
    <w:rsid w:val="00B200AF"/>
    <w:rPr>
      <w:rFonts w:ascii="Arial" w:hAnsi="Arial"/>
      <w:i/>
      <w:iCs/>
      <w:sz w:val="20"/>
      <w:lang w:val="en-AU"/>
    </w:rPr>
  </w:style>
  <w:style w:type="character" w:styleId="HTMLCite">
    <w:name w:val="HTML Cite"/>
    <w:basedOn w:val="DefaultParagraphFont"/>
    <w:uiPriority w:val="99"/>
    <w:semiHidden/>
    <w:unhideWhenUsed/>
    <w:rsid w:val="00B200AF"/>
    <w:rPr>
      <w:i/>
      <w:iCs/>
    </w:rPr>
  </w:style>
  <w:style w:type="character" w:styleId="HTMLCode">
    <w:name w:val="HTML Code"/>
    <w:basedOn w:val="DefaultParagraphFont"/>
    <w:uiPriority w:val="99"/>
    <w:semiHidden/>
    <w:unhideWhenUsed/>
    <w:rsid w:val="00B200AF"/>
    <w:rPr>
      <w:rFonts w:ascii="Consolas" w:hAnsi="Consolas" w:cs="Consolas"/>
      <w:sz w:val="20"/>
      <w:szCs w:val="20"/>
    </w:rPr>
  </w:style>
  <w:style w:type="character" w:styleId="HTMLDefinition">
    <w:name w:val="HTML Definition"/>
    <w:basedOn w:val="DefaultParagraphFont"/>
    <w:uiPriority w:val="99"/>
    <w:semiHidden/>
    <w:unhideWhenUsed/>
    <w:rsid w:val="00B200AF"/>
    <w:rPr>
      <w:i/>
      <w:iCs/>
    </w:rPr>
  </w:style>
  <w:style w:type="character" w:styleId="HTMLKeyboard">
    <w:name w:val="HTML Keyboard"/>
    <w:basedOn w:val="DefaultParagraphFont"/>
    <w:uiPriority w:val="99"/>
    <w:semiHidden/>
    <w:unhideWhenUsed/>
    <w:rsid w:val="00B200AF"/>
    <w:rPr>
      <w:rFonts w:ascii="Consolas" w:hAnsi="Consolas" w:cs="Consolas"/>
      <w:sz w:val="20"/>
      <w:szCs w:val="20"/>
    </w:rPr>
  </w:style>
  <w:style w:type="paragraph" w:styleId="HTMLPreformatted">
    <w:name w:val="HTML Preformatted"/>
    <w:basedOn w:val="Normal"/>
    <w:link w:val="HTMLPreformattedChar"/>
    <w:uiPriority w:val="99"/>
    <w:semiHidden/>
    <w:unhideWhenUsed/>
    <w:rsid w:val="00B200AF"/>
    <w:pPr>
      <w:spacing w:after="0"/>
    </w:pPr>
    <w:rPr>
      <w:rFonts w:ascii="Consolas" w:hAnsi="Consolas" w:cs="Consolas"/>
    </w:rPr>
  </w:style>
  <w:style w:type="character" w:customStyle="1" w:styleId="HTMLPreformattedChar">
    <w:name w:val="HTML Preformatted Char"/>
    <w:basedOn w:val="DefaultParagraphFont"/>
    <w:link w:val="HTMLPreformatted"/>
    <w:uiPriority w:val="99"/>
    <w:semiHidden/>
    <w:rsid w:val="00B200AF"/>
    <w:rPr>
      <w:rFonts w:ascii="Consolas" w:hAnsi="Consolas" w:cs="Consolas"/>
      <w:sz w:val="20"/>
      <w:szCs w:val="20"/>
      <w:lang w:val="en-AU"/>
    </w:rPr>
  </w:style>
  <w:style w:type="character" w:styleId="HTMLSample">
    <w:name w:val="HTML Sample"/>
    <w:basedOn w:val="DefaultParagraphFont"/>
    <w:uiPriority w:val="99"/>
    <w:semiHidden/>
    <w:unhideWhenUsed/>
    <w:rsid w:val="00B200AF"/>
    <w:rPr>
      <w:rFonts w:ascii="Consolas" w:hAnsi="Consolas" w:cs="Consolas"/>
      <w:sz w:val="24"/>
      <w:szCs w:val="24"/>
    </w:rPr>
  </w:style>
  <w:style w:type="character" w:styleId="HTMLTypewriter">
    <w:name w:val="HTML Typewriter"/>
    <w:basedOn w:val="DefaultParagraphFont"/>
    <w:uiPriority w:val="99"/>
    <w:semiHidden/>
    <w:unhideWhenUsed/>
    <w:rsid w:val="00B200AF"/>
    <w:rPr>
      <w:rFonts w:ascii="Consolas" w:hAnsi="Consolas" w:cs="Consolas"/>
      <w:sz w:val="20"/>
      <w:szCs w:val="20"/>
    </w:rPr>
  </w:style>
  <w:style w:type="character" w:styleId="HTMLVariable">
    <w:name w:val="HTML Variable"/>
    <w:basedOn w:val="DefaultParagraphFont"/>
    <w:uiPriority w:val="99"/>
    <w:semiHidden/>
    <w:unhideWhenUsed/>
    <w:rsid w:val="00B200AF"/>
    <w:rPr>
      <w:i/>
      <w:iCs/>
    </w:rPr>
  </w:style>
  <w:style w:type="paragraph" w:styleId="Index1">
    <w:name w:val="index 1"/>
    <w:basedOn w:val="Normal"/>
    <w:next w:val="Normal"/>
    <w:autoRedefine/>
    <w:uiPriority w:val="99"/>
    <w:semiHidden/>
    <w:unhideWhenUsed/>
    <w:rsid w:val="00B200AF"/>
    <w:pPr>
      <w:spacing w:after="0"/>
      <w:ind w:left="220" w:hanging="220"/>
    </w:pPr>
  </w:style>
  <w:style w:type="paragraph" w:styleId="Index2">
    <w:name w:val="index 2"/>
    <w:basedOn w:val="Normal"/>
    <w:next w:val="Normal"/>
    <w:autoRedefine/>
    <w:uiPriority w:val="99"/>
    <w:semiHidden/>
    <w:unhideWhenUsed/>
    <w:rsid w:val="00B200AF"/>
    <w:pPr>
      <w:spacing w:after="0"/>
      <w:ind w:left="440" w:hanging="220"/>
    </w:pPr>
  </w:style>
  <w:style w:type="paragraph" w:styleId="Index3">
    <w:name w:val="index 3"/>
    <w:basedOn w:val="Normal"/>
    <w:next w:val="Normal"/>
    <w:autoRedefine/>
    <w:uiPriority w:val="99"/>
    <w:semiHidden/>
    <w:unhideWhenUsed/>
    <w:rsid w:val="00B200AF"/>
    <w:pPr>
      <w:spacing w:after="0"/>
      <w:ind w:left="660" w:hanging="220"/>
    </w:pPr>
  </w:style>
  <w:style w:type="paragraph" w:styleId="Index4">
    <w:name w:val="index 4"/>
    <w:basedOn w:val="Normal"/>
    <w:next w:val="Normal"/>
    <w:autoRedefine/>
    <w:uiPriority w:val="99"/>
    <w:semiHidden/>
    <w:unhideWhenUsed/>
    <w:rsid w:val="00B200AF"/>
    <w:pPr>
      <w:spacing w:after="0"/>
      <w:ind w:left="880" w:hanging="220"/>
    </w:pPr>
  </w:style>
  <w:style w:type="paragraph" w:styleId="Index5">
    <w:name w:val="index 5"/>
    <w:basedOn w:val="Normal"/>
    <w:next w:val="Normal"/>
    <w:autoRedefine/>
    <w:uiPriority w:val="99"/>
    <w:semiHidden/>
    <w:unhideWhenUsed/>
    <w:rsid w:val="00B200AF"/>
    <w:pPr>
      <w:spacing w:after="0"/>
      <w:ind w:left="1100" w:hanging="220"/>
    </w:pPr>
  </w:style>
  <w:style w:type="paragraph" w:styleId="Index6">
    <w:name w:val="index 6"/>
    <w:basedOn w:val="Normal"/>
    <w:next w:val="Normal"/>
    <w:autoRedefine/>
    <w:uiPriority w:val="99"/>
    <w:semiHidden/>
    <w:unhideWhenUsed/>
    <w:rsid w:val="00B200AF"/>
    <w:pPr>
      <w:spacing w:after="0"/>
      <w:ind w:left="1320" w:hanging="220"/>
    </w:pPr>
  </w:style>
  <w:style w:type="paragraph" w:styleId="Index7">
    <w:name w:val="index 7"/>
    <w:basedOn w:val="Normal"/>
    <w:next w:val="Normal"/>
    <w:autoRedefine/>
    <w:uiPriority w:val="99"/>
    <w:semiHidden/>
    <w:unhideWhenUsed/>
    <w:rsid w:val="00B200AF"/>
    <w:pPr>
      <w:spacing w:after="0"/>
      <w:ind w:left="1540" w:hanging="220"/>
    </w:pPr>
  </w:style>
  <w:style w:type="paragraph" w:styleId="Index8">
    <w:name w:val="index 8"/>
    <w:basedOn w:val="Normal"/>
    <w:next w:val="Normal"/>
    <w:autoRedefine/>
    <w:uiPriority w:val="99"/>
    <w:semiHidden/>
    <w:unhideWhenUsed/>
    <w:rsid w:val="00B200AF"/>
    <w:pPr>
      <w:spacing w:after="0"/>
      <w:ind w:left="1760" w:hanging="220"/>
    </w:pPr>
  </w:style>
  <w:style w:type="paragraph" w:styleId="Index9">
    <w:name w:val="index 9"/>
    <w:basedOn w:val="Normal"/>
    <w:next w:val="Normal"/>
    <w:autoRedefine/>
    <w:uiPriority w:val="99"/>
    <w:semiHidden/>
    <w:unhideWhenUsed/>
    <w:rsid w:val="00B200AF"/>
    <w:pPr>
      <w:spacing w:after="0"/>
      <w:ind w:left="1980" w:hanging="220"/>
    </w:pPr>
  </w:style>
  <w:style w:type="paragraph" w:styleId="IndexHeading">
    <w:name w:val="index heading"/>
    <w:basedOn w:val="Normal"/>
    <w:next w:val="Index1"/>
    <w:uiPriority w:val="99"/>
    <w:semiHidden/>
    <w:unhideWhenUsed/>
    <w:rsid w:val="00B200AF"/>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840060"/>
    <w:rPr>
      <w:b/>
      <w:bCs/>
      <w:i/>
      <w:iCs/>
      <w:color w:val="9B9795" w:themeColor="accent1"/>
    </w:rPr>
  </w:style>
  <w:style w:type="paragraph" w:styleId="IntenseQuote">
    <w:name w:val="Intense Quote"/>
    <w:basedOn w:val="Normal"/>
    <w:next w:val="Normal"/>
    <w:link w:val="IntenseQuoteChar"/>
    <w:uiPriority w:val="30"/>
    <w:semiHidden/>
    <w:qFormat/>
    <w:rsid w:val="00840060"/>
    <w:pPr>
      <w:pBdr>
        <w:bottom w:val="single" w:sz="4" w:space="4" w:color="9B9795" w:themeColor="accent1"/>
      </w:pBdr>
      <w:spacing w:before="200" w:after="280"/>
      <w:ind w:left="936" w:right="936"/>
    </w:pPr>
    <w:rPr>
      <w:b/>
      <w:bCs/>
      <w:i/>
      <w:iCs/>
      <w:color w:val="9B9795" w:themeColor="accent1"/>
      <w:lang w:val="en-AU"/>
    </w:rPr>
  </w:style>
  <w:style w:type="character" w:customStyle="1" w:styleId="IntenseQuoteChar">
    <w:name w:val="Intense Quote Char"/>
    <w:basedOn w:val="DefaultParagraphFont"/>
    <w:link w:val="IntenseQuote"/>
    <w:uiPriority w:val="30"/>
    <w:semiHidden/>
    <w:rsid w:val="00840060"/>
    <w:rPr>
      <w:b/>
      <w:bCs/>
      <w:i/>
      <w:iCs/>
      <w:color w:val="9B9795" w:themeColor="accent1"/>
      <w:lang w:val="en-AU"/>
    </w:rPr>
  </w:style>
  <w:style w:type="character" w:styleId="IntenseReference">
    <w:name w:val="Intense Reference"/>
    <w:basedOn w:val="DefaultParagraphFont"/>
    <w:uiPriority w:val="32"/>
    <w:semiHidden/>
    <w:qFormat/>
    <w:rsid w:val="00840060"/>
    <w:rPr>
      <w:b/>
      <w:bCs/>
      <w:smallCaps/>
      <w:color w:val="CE7628" w:themeColor="accent2"/>
      <w:spacing w:val="5"/>
      <w:u w:val="single"/>
    </w:rPr>
  </w:style>
  <w:style w:type="table" w:styleId="LightGrid">
    <w:name w:val="Light Grid"/>
    <w:basedOn w:val="TableNormal"/>
    <w:uiPriority w:val="62"/>
    <w:rsid w:val="008552F5"/>
    <w:pPr>
      <w:spacing w:after="0" w:line="240" w:lineRule="auto"/>
    </w:pPr>
    <w:tblPr>
      <w:tblStyleRowBandSize w:val="1"/>
      <w:tblStyleColBandSize w:val="1"/>
      <w:tblBorders>
        <w:top w:val="single" w:sz="8" w:space="0" w:color="9B9795" w:themeColor="text1"/>
        <w:left w:val="single" w:sz="8" w:space="0" w:color="9B9795" w:themeColor="text1"/>
        <w:bottom w:val="single" w:sz="8" w:space="0" w:color="9B9795" w:themeColor="text1"/>
        <w:right w:val="single" w:sz="8" w:space="0" w:color="9B9795" w:themeColor="text1"/>
        <w:insideH w:val="single" w:sz="8" w:space="0" w:color="9B9795" w:themeColor="text1"/>
        <w:insideV w:val="single" w:sz="8" w:space="0" w:color="9B9795"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9795" w:themeColor="text1"/>
          <w:left w:val="single" w:sz="8" w:space="0" w:color="9B9795" w:themeColor="text1"/>
          <w:bottom w:val="single" w:sz="18" w:space="0" w:color="9B9795" w:themeColor="text1"/>
          <w:right w:val="single" w:sz="8" w:space="0" w:color="9B9795" w:themeColor="text1"/>
          <w:insideH w:val="nil"/>
          <w:insideV w:val="single" w:sz="8" w:space="0" w:color="9B9795"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9795" w:themeColor="text1"/>
          <w:left w:val="single" w:sz="8" w:space="0" w:color="9B9795" w:themeColor="text1"/>
          <w:bottom w:val="single" w:sz="8" w:space="0" w:color="9B9795" w:themeColor="text1"/>
          <w:right w:val="single" w:sz="8" w:space="0" w:color="9B9795" w:themeColor="text1"/>
          <w:insideH w:val="nil"/>
          <w:insideV w:val="single" w:sz="8" w:space="0" w:color="9B9795"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9795" w:themeColor="text1"/>
          <w:left w:val="single" w:sz="8" w:space="0" w:color="9B9795" w:themeColor="text1"/>
          <w:bottom w:val="single" w:sz="8" w:space="0" w:color="9B9795" w:themeColor="text1"/>
          <w:right w:val="single" w:sz="8" w:space="0" w:color="9B9795" w:themeColor="text1"/>
        </w:tcBorders>
      </w:tcPr>
    </w:tblStylePr>
    <w:tblStylePr w:type="band1Vert">
      <w:tblPr/>
      <w:tcPr>
        <w:tcBorders>
          <w:top w:val="single" w:sz="8" w:space="0" w:color="9B9795" w:themeColor="text1"/>
          <w:left w:val="single" w:sz="8" w:space="0" w:color="9B9795" w:themeColor="text1"/>
          <w:bottom w:val="single" w:sz="8" w:space="0" w:color="9B9795" w:themeColor="text1"/>
          <w:right w:val="single" w:sz="8" w:space="0" w:color="9B9795" w:themeColor="text1"/>
        </w:tcBorders>
        <w:shd w:val="clear" w:color="auto" w:fill="E6E5E4" w:themeFill="text1" w:themeFillTint="3F"/>
      </w:tcPr>
    </w:tblStylePr>
    <w:tblStylePr w:type="band1Horz">
      <w:tblPr/>
      <w:tcPr>
        <w:tcBorders>
          <w:top w:val="single" w:sz="8" w:space="0" w:color="9B9795" w:themeColor="text1"/>
          <w:left w:val="single" w:sz="8" w:space="0" w:color="9B9795" w:themeColor="text1"/>
          <w:bottom w:val="single" w:sz="8" w:space="0" w:color="9B9795" w:themeColor="text1"/>
          <w:right w:val="single" w:sz="8" w:space="0" w:color="9B9795" w:themeColor="text1"/>
          <w:insideV w:val="single" w:sz="8" w:space="0" w:color="9B9795" w:themeColor="text1"/>
        </w:tcBorders>
        <w:shd w:val="clear" w:color="auto" w:fill="E6E5E4" w:themeFill="text1" w:themeFillTint="3F"/>
      </w:tcPr>
    </w:tblStylePr>
    <w:tblStylePr w:type="band2Horz">
      <w:tblPr/>
      <w:tcPr>
        <w:tcBorders>
          <w:top w:val="single" w:sz="8" w:space="0" w:color="9B9795" w:themeColor="text1"/>
          <w:left w:val="single" w:sz="8" w:space="0" w:color="9B9795" w:themeColor="text1"/>
          <w:bottom w:val="single" w:sz="8" w:space="0" w:color="9B9795" w:themeColor="text1"/>
          <w:right w:val="single" w:sz="8" w:space="0" w:color="9B9795" w:themeColor="text1"/>
          <w:insideV w:val="single" w:sz="8" w:space="0" w:color="9B9795" w:themeColor="text1"/>
        </w:tcBorders>
      </w:tcPr>
    </w:tblStylePr>
  </w:style>
  <w:style w:type="table" w:styleId="LightGrid-Accent1">
    <w:name w:val="Light Grid Accent 1"/>
    <w:basedOn w:val="TableNormal"/>
    <w:uiPriority w:val="62"/>
    <w:rsid w:val="008552F5"/>
    <w:pPr>
      <w:spacing w:after="0" w:line="240" w:lineRule="auto"/>
    </w:pPr>
    <w:tblPr>
      <w:tblStyleRowBandSize w:val="1"/>
      <w:tblStyleColBandSize w:val="1"/>
      <w:tblBorders>
        <w:top w:val="single" w:sz="8" w:space="0" w:color="9B9795" w:themeColor="accent1"/>
        <w:left w:val="single" w:sz="8" w:space="0" w:color="9B9795" w:themeColor="accent1"/>
        <w:bottom w:val="single" w:sz="8" w:space="0" w:color="9B9795" w:themeColor="accent1"/>
        <w:right w:val="single" w:sz="8" w:space="0" w:color="9B9795" w:themeColor="accent1"/>
        <w:insideH w:val="single" w:sz="8" w:space="0" w:color="9B9795" w:themeColor="accent1"/>
        <w:insideV w:val="single" w:sz="8" w:space="0" w:color="9B979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9795" w:themeColor="accent1"/>
          <w:left w:val="single" w:sz="8" w:space="0" w:color="9B9795" w:themeColor="accent1"/>
          <w:bottom w:val="single" w:sz="18" w:space="0" w:color="9B9795" w:themeColor="accent1"/>
          <w:right w:val="single" w:sz="8" w:space="0" w:color="9B9795" w:themeColor="accent1"/>
          <w:insideH w:val="nil"/>
          <w:insideV w:val="single" w:sz="8" w:space="0" w:color="9B979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9795" w:themeColor="accent1"/>
          <w:left w:val="single" w:sz="8" w:space="0" w:color="9B9795" w:themeColor="accent1"/>
          <w:bottom w:val="single" w:sz="8" w:space="0" w:color="9B9795" w:themeColor="accent1"/>
          <w:right w:val="single" w:sz="8" w:space="0" w:color="9B9795" w:themeColor="accent1"/>
          <w:insideH w:val="nil"/>
          <w:insideV w:val="single" w:sz="8" w:space="0" w:color="9B979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9795" w:themeColor="accent1"/>
          <w:left w:val="single" w:sz="8" w:space="0" w:color="9B9795" w:themeColor="accent1"/>
          <w:bottom w:val="single" w:sz="8" w:space="0" w:color="9B9795" w:themeColor="accent1"/>
          <w:right w:val="single" w:sz="8" w:space="0" w:color="9B9795" w:themeColor="accent1"/>
        </w:tcBorders>
      </w:tcPr>
    </w:tblStylePr>
    <w:tblStylePr w:type="band1Vert">
      <w:tblPr/>
      <w:tcPr>
        <w:tcBorders>
          <w:top w:val="single" w:sz="8" w:space="0" w:color="9B9795" w:themeColor="accent1"/>
          <w:left w:val="single" w:sz="8" w:space="0" w:color="9B9795" w:themeColor="accent1"/>
          <w:bottom w:val="single" w:sz="8" w:space="0" w:color="9B9795" w:themeColor="accent1"/>
          <w:right w:val="single" w:sz="8" w:space="0" w:color="9B9795" w:themeColor="accent1"/>
        </w:tcBorders>
        <w:shd w:val="clear" w:color="auto" w:fill="E6E5E4" w:themeFill="accent1" w:themeFillTint="3F"/>
      </w:tcPr>
    </w:tblStylePr>
    <w:tblStylePr w:type="band1Horz">
      <w:tblPr/>
      <w:tcPr>
        <w:tcBorders>
          <w:top w:val="single" w:sz="8" w:space="0" w:color="9B9795" w:themeColor="accent1"/>
          <w:left w:val="single" w:sz="8" w:space="0" w:color="9B9795" w:themeColor="accent1"/>
          <w:bottom w:val="single" w:sz="8" w:space="0" w:color="9B9795" w:themeColor="accent1"/>
          <w:right w:val="single" w:sz="8" w:space="0" w:color="9B9795" w:themeColor="accent1"/>
          <w:insideV w:val="single" w:sz="8" w:space="0" w:color="9B9795" w:themeColor="accent1"/>
        </w:tcBorders>
        <w:shd w:val="clear" w:color="auto" w:fill="E6E5E4" w:themeFill="accent1" w:themeFillTint="3F"/>
      </w:tcPr>
    </w:tblStylePr>
    <w:tblStylePr w:type="band2Horz">
      <w:tblPr/>
      <w:tcPr>
        <w:tcBorders>
          <w:top w:val="single" w:sz="8" w:space="0" w:color="9B9795" w:themeColor="accent1"/>
          <w:left w:val="single" w:sz="8" w:space="0" w:color="9B9795" w:themeColor="accent1"/>
          <w:bottom w:val="single" w:sz="8" w:space="0" w:color="9B9795" w:themeColor="accent1"/>
          <w:right w:val="single" w:sz="8" w:space="0" w:color="9B9795" w:themeColor="accent1"/>
          <w:insideV w:val="single" w:sz="8" w:space="0" w:color="9B9795" w:themeColor="accent1"/>
        </w:tcBorders>
      </w:tcPr>
    </w:tblStylePr>
  </w:style>
  <w:style w:type="table" w:styleId="LightGrid-Accent2">
    <w:name w:val="Light Grid Accent 2"/>
    <w:basedOn w:val="TableNormal"/>
    <w:uiPriority w:val="62"/>
    <w:rsid w:val="008552F5"/>
    <w:pPr>
      <w:spacing w:after="0" w:line="240" w:lineRule="auto"/>
    </w:pPr>
    <w:tblPr>
      <w:tblStyleRowBandSize w:val="1"/>
      <w:tblStyleColBandSize w:val="1"/>
      <w:tblBorders>
        <w:top w:val="single" w:sz="8" w:space="0" w:color="CE7628" w:themeColor="accent2"/>
        <w:left w:val="single" w:sz="8" w:space="0" w:color="CE7628" w:themeColor="accent2"/>
        <w:bottom w:val="single" w:sz="8" w:space="0" w:color="CE7628" w:themeColor="accent2"/>
        <w:right w:val="single" w:sz="8" w:space="0" w:color="CE7628" w:themeColor="accent2"/>
        <w:insideH w:val="single" w:sz="8" w:space="0" w:color="CE7628" w:themeColor="accent2"/>
        <w:insideV w:val="single" w:sz="8" w:space="0" w:color="CE762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7628" w:themeColor="accent2"/>
          <w:left w:val="single" w:sz="8" w:space="0" w:color="CE7628" w:themeColor="accent2"/>
          <w:bottom w:val="single" w:sz="18" w:space="0" w:color="CE7628" w:themeColor="accent2"/>
          <w:right w:val="single" w:sz="8" w:space="0" w:color="CE7628" w:themeColor="accent2"/>
          <w:insideH w:val="nil"/>
          <w:insideV w:val="single" w:sz="8" w:space="0" w:color="CE762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7628" w:themeColor="accent2"/>
          <w:left w:val="single" w:sz="8" w:space="0" w:color="CE7628" w:themeColor="accent2"/>
          <w:bottom w:val="single" w:sz="8" w:space="0" w:color="CE7628" w:themeColor="accent2"/>
          <w:right w:val="single" w:sz="8" w:space="0" w:color="CE7628" w:themeColor="accent2"/>
          <w:insideH w:val="nil"/>
          <w:insideV w:val="single" w:sz="8" w:space="0" w:color="CE762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7628" w:themeColor="accent2"/>
          <w:left w:val="single" w:sz="8" w:space="0" w:color="CE7628" w:themeColor="accent2"/>
          <w:bottom w:val="single" w:sz="8" w:space="0" w:color="CE7628" w:themeColor="accent2"/>
          <w:right w:val="single" w:sz="8" w:space="0" w:color="CE7628" w:themeColor="accent2"/>
        </w:tcBorders>
      </w:tcPr>
    </w:tblStylePr>
    <w:tblStylePr w:type="band1Vert">
      <w:tblPr/>
      <w:tcPr>
        <w:tcBorders>
          <w:top w:val="single" w:sz="8" w:space="0" w:color="CE7628" w:themeColor="accent2"/>
          <w:left w:val="single" w:sz="8" w:space="0" w:color="CE7628" w:themeColor="accent2"/>
          <w:bottom w:val="single" w:sz="8" w:space="0" w:color="CE7628" w:themeColor="accent2"/>
          <w:right w:val="single" w:sz="8" w:space="0" w:color="CE7628" w:themeColor="accent2"/>
        </w:tcBorders>
        <w:shd w:val="clear" w:color="auto" w:fill="F4DCC8" w:themeFill="accent2" w:themeFillTint="3F"/>
      </w:tcPr>
    </w:tblStylePr>
    <w:tblStylePr w:type="band1Horz">
      <w:tblPr/>
      <w:tcPr>
        <w:tcBorders>
          <w:top w:val="single" w:sz="8" w:space="0" w:color="CE7628" w:themeColor="accent2"/>
          <w:left w:val="single" w:sz="8" w:space="0" w:color="CE7628" w:themeColor="accent2"/>
          <w:bottom w:val="single" w:sz="8" w:space="0" w:color="CE7628" w:themeColor="accent2"/>
          <w:right w:val="single" w:sz="8" w:space="0" w:color="CE7628" w:themeColor="accent2"/>
          <w:insideV w:val="single" w:sz="8" w:space="0" w:color="CE7628" w:themeColor="accent2"/>
        </w:tcBorders>
        <w:shd w:val="clear" w:color="auto" w:fill="F4DCC8" w:themeFill="accent2" w:themeFillTint="3F"/>
      </w:tcPr>
    </w:tblStylePr>
    <w:tblStylePr w:type="band2Horz">
      <w:tblPr/>
      <w:tcPr>
        <w:tcBorders>
          <w:top w:val="single" w:sz="8" w:space="0" w:color="CE7628" w:themeColor="accent2"/>
          <w:left w:val="single" w:sz="8" w:space="0" w:color="CE7628" w:themeColor="accent2"/>
          <w:bottom w:val="single" w:sz="8" w:space="0" w:color="CE7628" w:themeColor="accent2"/>
          <w:right w:val="single" w:sz="8" w:space="0" w:color="CE7628" w:themeColor="accent2"/>
          <w:insideV w:val="single" w:sz="8" w:space="0" w:color="CE7628" w:themeColor="accent2"/>
        </w:tcBorders>
      </w:tcPr>
    </w:tblStylePr>
  </w:style>
  <w:style w:type="table" w:styleId="LightGrid-Accent3">
    <w:name w:val="Light Grid Accent 3"/>
    <w:basedOn w:val="TableNormal"/>
    <w:uiPriority w:val="62"/>
    <w:rsid w:val="008552F5"/>
    <w:pPr>
      <w:spacing w:after="0" w:line="240" w:lineRule="auto"/>
    </w:pPr>
    <w:tblPr>
      <w:tblStyleRowBandSize w:val="1"/>
      <w:tblStyleColBandSize w:val="1"/>
      <w:tblBorders>
        <w:top w:val="single" w:sz="8" w:space="0" w:color="497537" w:themeColor="accent3"/>
        <w:left w:val="single" w:sz="8" w:space="0" w:color="497537" w:themeColor="accent3"/>
        <w:bottom w:val="single" w:sz="8" w:space="0" w:color="497537" w:themeColor="accent3"/>
        <w:right w:val="single" w:sz="8" w:space="0" w:color="497537" w:themeColor="accent3"/>
        <w:insideH w:val="single" w:sz="8" w:space="0" w:color="497537" w:themeColor="accent3"/>
        <w:insideV w:val="single" w:sz="8" w:space="0" w:color="49753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7537" w:themeColor="accent3"/>
          <w:left w:val="single" w:sz="8" w:space="0" w:color="497537" w:themeColor="accent3"/>
          <w:bottom w:val="single" w:sz="18" w:space="0" w:color="497537" w:themeColor="accent3"/>
          <w:right w:val="single" w:sz="8" w:space="0" w:color="497537" w:themeColor="accent3"/>
          <w:insideH w:val="nil"/>
          <w:insideV w:val="single" w:sz="8" w:space="0" w:color="49753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7537" w:themeColor="accent3"/>
          <w:left w:val="single" w:sz="8" w:space="0" w:color="497537" w:themeColor="accent3"/>
          <w:bottom w:val="single" w:sz="8" w:space="0" w:color="497537" w:themeColor="accent3"/>
          <w:right w:val="single" w:sz="8" w:space="0" w:color="497537" w:themeColor="accent3"/>
          <w:insideH w:val="nil"/>
          <w:insideV w:val="single" w:sz="8" w:space="0" w:color="49753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7537" w:themeColor="accent3"/>
          <w:left w:val="single" w:sz="8" w:space="0" w:color="497537" w:themeColor="accent3"/>
          <w:bottom w:val="single" w:sz="8" w:space="0" w:color="497537" w:themeColor="accent3"/>
          <w:right w:val="single" w:sz="8" w:space="0" w:color="497537" w:themeColor="accent3"/>
        </w:tcBorders>
      </w:tcPr>
    </w:tblStylePr>
    <w:tblStylePr w:type="band1Vert">
      <w:tblPr/>
      <w:tcPr>
        <w:tcBorders>
          <w:top w:val="single" w:sz="8" w:space="0" w:color="497537" w:themeColor="accent3"/>
          <w:left w:val="single" w:sz="8" w:space="0" w:color="497537" w:themeColor="accent3"/>
          <w:bottom w:val="single" w:sz="8" w:space="0" w:color="497537" w:themeColor="accent3"/>
          <w:right w:val="single" w:sz="8" w:space="0" w:color="497537" w:themeColor="accent3"/>
        </w:tcBorders>
        <w:shd w:val="clear" w:color="auto" w:fill="CEE4C6" w:themeFill="accent3" w:themeFillTint="3F"/>
      </w:tcPr>
    </w:tblStylePr>
    <w:tblStylePr w:type="band1Horz">
      <w:tblPr/>
      <w:tcPr>
        <w:tcBorders>
          <w:top w:val="single" w:sz="8" w:space="0" w:color="497537" w:themeColor="accent3"/>
          <w:left w:val="single" w:sz="8" w:space="0" w:color="497537" w:themeColor="accent3"/>
          <w:bottom w:val="single" w:sz="8" w:space="0" w:color="497537" w:themeColor="accent3"/>
          <w:right w:val="single" w:sz="8" w:space="0" w:color="497537" w:themeColor="accent3"/>
          <w:insideV w:val="single" w:sz="8" w:space="0" w:color="497537" w:themeColor="accent3"/>
        </w:tcBorders>
        <w:shd w:val="clear" w:color="auto" w:fill="CEE4C6" w:themeFill="accent3" w:themeFillTint="3F"/>
      </w:tcPr>
    </w:tblStylePr>
    <w:tblStylePr w:type="band2Horz">
      <w:tblPr/>
      <w:tcPr>
        <w:tcBorders>
          <w:top w:val="single" w:sz="8" w:space="0" w:color="497537" w:themeColor="accent3"/>
          <w:left w:val="single" w:sz="8" w:space="0" w:color="497537" w:themeColor="accent3"/>
          <w:bottom w:val="single" w:sz="8" w:space="0" w:color="497537" w:themeColor="accent3"/>
          <w:right w:val="single" w:sz="8" w:space="0" w:color="497537" w:themeColor="accent3"/>
          <w:insideV w:val="single" w:sz="8" w:space="0" w:color="497537" w:themeColor="accent3"/>
        </w:tcBorders>
      </w:tcPr>
    </w:tblStylePr>
  </w:style>
  <w:style w:type="table" w:styleId="LightGrid-Accent4">
    <w:name w:val="Light Grid Accent 4"/>
    <w:basedOn w:val="TableNormal"/>
    <w:uiPriority w:val="62"/>
    <w:rsid w:val="008552F5"/>
    <w:pPr>
      <w:spacing w:after="0" w:line="240" w:lineRule="auto"/>
    </w:pPr>
    <w:tblPr>
      <w:tblStyleRowBandSize w:val="1"/>
      <w:tblStyleColBandSize w:val="1"/>
      <w:tblBorders>
        <w:top w:val="single" w:sz="8" w:space="0" w:color="A19836" w:themeColor="accent4"/>
        <w:left w:val="single" w:sz="8" w:space="0" w:color="A19836" w:themeColor="accent4"/>
        <w:bottom w:val="single" w:sz="8" w:space="0" w:color="A19836" w:themeColor="accent4"/>
        <w:right w:val="single" w:sz="8" w:space="0" w:color="A19836" w:themeColor="accent4"/>
        <w:insideH w:val="single" w:sz="8" w:space="0" w:color="A19836" w:themeColor="accent4"/>
        <w:insideV w:val="single" w:sz="8" w:space="0" w:color="A1983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9836" w:themeColor="accent4"/>
          <w:left w:val="single" w:sz="8" w:space="0" w:color="A19836" w:themeColor="accent4"/>
          <w:bottom w:val="single" w:sz="18" w:space="0" w:color="A19836" w:themeColor="accent4"/>
          <w:right w:val="single" w:sz="8" w:space="0" w:color="A19836" w:themeColor="accent4"/>
          <w:insideH w:val="nil"/>
          <w:insideV w:val="single" w:sz="8" w:space="0" w:color="A1983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9836" w:themeColor="accent4"/>
          <w:left w:val="single" w:sz="8" w:space="0" w:color="A19836" w:themeColor="accent4"/>
          <w:bottom w:val="single" w:sz="8" w:space="0" w:color="A19836" w:themeColor="accent4"/>
          <w:right w:val="single" w:sz="8" w:space="0" w:color="A19836" w:themeColor="accent4"/>
          <w:insideH w:val="nil"/>
          <w:insideV w:val="single" w:sz="8" w:space="0" w:color="A1983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9836" w:themeColor="accent4"/>
          <w:left w:val="single" w:sz="8" w:space="0" w:color="A19836" w:themeColor="accent4"/>
          <w:bottom w:val="single" w:sz="8" w:space="0" w:color="A19836" w:themeColor="accent4"/>
          <w:right w:val="single" w:sz="8" w:space="0" w:color="A19836" w:themeColor="accent4"/>
        </w:tcBorders>
      </w:tcPr>
    </w:tblStylePr>
    <w:tblStylePr w:type="band1Vert">
      <w:tblPr/>
      <w:tcPr>
        <w:tcBorders>
          <w:top w:val="single" w:sz="8" w:space="0" w:color="A19836" w:themeColor="accent4"/>
          <w:left w:val="single" w:sz="8" w:space="0" w:color="A19836" w:themeColor="accent4"/>
          <w:bottom w:val="single" w:sz="8" w:space="0" w:color="A19836" w:themeColor="accent4"/>
          <w:right w:val="single" w:sz="8" w:space="0" w:color="A19836" w:themeColor="accent4"/>
        </w:tcBorders>
        <w:shd w:val="clear" w:color="auto" w:fill="ECE9C8" w:themeFill="accent4" w:themeFillTint="3F"/>
      </w:tcPr>
    </w:tblStylePr>
    <w:tblStylePr w:type="band1Horz">
      <w:tblPr/>
      <w:tcPr>
        <w:tcBorders>
          <w:top w:val="single" w:sz="8" w:space="0" w:color="A19836" w:themeColor="accent4"/>
          <w:left w:val="single" w:sz="8" w:space="0" w:color="A19836" w:themeColor="accent4"/>
          <w:bottom w:val="single" w:sz="8" w:space="0" w:color="A19836" w:themeColor="accent4"/>
          <w:right w:val="single" w:sz="8" w:space="0" w:color="A19836" w:themeColor="accent4"/>
          <w:insideV w:val="single" w:sz="8" w:space="0" w:color="A19836" w:themeColor="accent4"/>
        </w:tcBorders>
        <w:shd w:val="clear" w:color="auto" w:fill="ECE9C8" w:themeFill="accent4" w:themeFillTint="3F"/>
      </w:tcPr>
    </w:tblStylePr>
    <w:tblStylePr w:type="band2Horz">
      <w:tblPr/>
      <w:tcPr>
        <w:tcBorders>
          <w:top w:val="single" w:sz="8" w:space="0" w:color="A19836" w:themeColor="accent4"/>
          <w:left w:val="single" w:sz="8" w:space="0" w:color="A19836" w:themeColor="accent4"/>
          <w:bottom w:val="single" w:sz="8" w:space="0" w:color="A19836" w:themeColor="accent4"/>
          <w:right w:val="single" w:sz="8" w:space="0" w:color="A19836" w:themeColor="accent4"/>
          <w:insideV w:val="single" w:sz="8" w:space="0" w:color="A19836" w:themeColor="accent4"/>
        </w:tcBorders>
      </w:tcPr>
    </w:tblStylePr>
  </w:style>
  <w:style w:type="table" w:styleId="LightGrid-Accent5">
    <w:name w:val="Light Grid Accent 5"/>
    <w:basedOn w:val="TableNormal"/>
    <w:uiPriority w:val="62"/>
    <w:rsid w:val="008552F5"/>
    <w:pPr>
      <w:spacing w:after="0" w:line="240" w:lineRule="auto"/>
    </w:pPr>
    <w:tblPr>
      <w:tblStyleRowBandSize w:val="1"/>
      <w:tblStyleColBandSize w:val="1"/>
      <w:tblBorders>
        <w:top w:val="single" w:sz="8" w:space="0" w:color="753749" w:themeColor="accent5"/>
        <w:left w:val="single" w:sz="8" w:space="0" w:color="753749" w:themeColor="accent5"/>
        <w:bottom w:val="single" w:sz="8" w:space="0" w:color="753749" w:themeColor="accent5"/>
        <w:right w:val="single" w:sz="8" w:space="0" w:color="753749" w:themeColor="accent5"/>
        <w:insideH w:val="single" w:sz="8" w:space="0" w:color="753749" w:themeColor="accent5"/>
        <w:insideV w:val="single" w:sz="8" w:space="0" w:color="75374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3749" w:themeColor="accent5"/>
          <w:left w:val="single" w:sz="8" w:space="0" w:color="753749" w:themeColor="accent5"/>
          <w:bottom w:val="single" w:sz="18" w:space="0" w:color="753749" w:themeColor="accent5"/>
          <w:right w:val="single" w:sz="8" w:space="0" w:color="753749" w:themeColor="accent5"/>
          <w:insideH w:val="nil"/>
          <w:insideV w:val="single" w:sz="8" w:space="0" w:color="75374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3749" w:themeColor="accent5"/>
          <w:left w:val="single" w:sz="8" w:space="0" w:color="753749" w:themeColor="accent5"/>
          <w:bottom w:val="single" w:sz="8" w:space="0" w:color="753749" w:themeColor="accent5"/>
          <w:right w:val="single" w:sz="8" w:space="0" w:color="753749" w:themeColor="accent5"/>
          <w:insideH w:val="nil"/>
          <w:insideV w:val="single" w:sz="8" w:space="0" w:color="75374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3749" w:themeColor="accent5"/>
          <w:left w:val="single" w:sz="8" w:space="0" w:color="753749" w:themeColor="accent5"/>
          <w:bottom w:val="single" w:sz="8" w:space="0" w:color="753749" w:themeColor="accent5"/>
          <w:right w:val="single" w:sz="8" w:space="0" w:color="753749" w:themeColor="accent5"/>
        </w:tcBorders>
      </w:tcPr>
    </w:tblStylePr>
    <w:tblStylePr w:type="band1Vert">
      <w:tblPr/>
      <w:tcPr>
        <w:tcBorders>
          <w:top w:val="single" w:sz="8" w:space="0" w:color="753749" w:themeColor="accent5"/>
          <w:left w:val="single" w:sz="8" w:space="0" w:color="753749" w:themeColor="accent5"/>
          <w:bottom w:val="single" w:sz="8" w:space="0" w:color="753749" w:themeColor="accent5"/>
          <w:right w:val="single" w:sz="8" w:space="0" w:color="753749" w:themeColor="accent5"/>
        </w:tcBorders>
        <w:shd w:val="clear" w:color="auto" w:fill="E4C6CE" w:themeFill="accent5" w:themeFillTint="3F"/>
      </w:tcPr>
    </w:tblStylePr>
    <w:tblStylePr w:type="band1Horz">
      <w:tblPr/>
      <w:tcPr>
        <w:tcBorders>
          <w:top w:val="single" w:sz="8" w:space="0" w:color="753749" w:themeColor="accent5"/>
          <w:left w:val="single" w:sz="8" w:space="0" w:color="753749" w:themeColor="accent5"/>
          <w:bottom w:val="single" w:sz="8" w:space="0" w:color="753749" w:themeColor="accent5"/>
          <w:right w:val="single" w:sz="8" w:space="0" w:color="753749" w:themeColor="accent5"/>
          <w:insideV w:val="single" w:sz="8" w:space="0" w:color="753749" w:themeColor="accent5"/>
        </w:tcBorders>
        <w:shd w:val="clear" w:color="auto" w:fill="E4C6CE" w:themeFill="accent5" w:themeFillTint="3F"/>
      </w:tcPr>
    </w:tblStylePr>
    <w:tblStylePr w:type="band2Horz">
      <w:tblPr/>
      <w:tcPr>
        <w:tcBorders>
          <w:top w:val="single" w:sz="8" w:space="0" w:color="753749" w:themeColor="accent5"/>
          <w:left w:val="single" w:sz="8" w:space="0" w:color="753749" w:themeColor="accent5"/>
          <w:bottom w:val="single" w:sz="8" w:space="0" w:color="753749" w:themeColor="accent5"/>
          <w:right w:val="single" w:sz="8" w:space="0" w:color="753749" w:themeColor="accent5"/>
          <w:insideV w:val="single" w:sz="8" w:space="0" w:color="753749" w:themeColor="accent5"/>
        </w:tcBorders>
      </w:tcPr>
    </w:tblStylePr>
  </w:style>
  <w:style w:type="table" w:styleId="LightGrid-Accent6">
    <w:name w:val="Light Grid Accent 6"/>
    <w:basedOn w:val="TableNormal"/>
    <w:uiPriority w:val="62"/>
    <w:rsid w:val="008552F5"/>
    <w:pPr>
      <w:spacing w:after="0" w:line="240" w:lineRule="auto"/>
    </w:pPr>
    <w:tblPr>
      <w:tblStyleRowBandSize w:val="1"/>
      <w:tblStyleColBandSize w:val="1"/>
      <w:tblBorders>
        <w:top w:val="single" w:sz="8" w:space="0" w:color="F1AF1A" w:themeColor="accent6"/>
        <w:left w:val="single" w:sz="8" w:space="0" w:color="F1AF1A" w:themeColor="accent6"/>
        <w:bottom w:val="single" w:sz="8" w:space="0" w:color="F1AF1A" w:themeColor="accent6"/>
        <w:right w:val="single" w:sz="8" w:space="0" w:color="F1AF1A" w:themeColor="accent6"/>
        <w:insideH w:val="single" w:sz="8" w:space="0" w:color="F1AF1A" w:themeColor="accent6"/>
        <w:insideV w:val="single" w:sz="8" w:space="0" w:color="F1AF1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AF1A" w:themeColor="accent6"/>
          <w:left w:val="single" w:sz="8" w:space="0" w:color="F1AF1A" w:themeColor="accent6"/>
          <w:bottom w:val="single" w:sz="18" w:space="0" w:color="F1AF1A" w:themeColor="accent6"/>
          <w:right w:val="single" w:sz="8" w:space="0" w:color="F1AF1A" w:themeColor="accent6"/>
          <w:insideH w:val="nil"/>
          <w:insideV w:val="single" w:sz="8" w:space="0" w:color="F1AF1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AF1A" w:themeColor="accent6"/>
          <w:left w:val="single" w:sz="8" w:space="0" w:color="F1AF1A" w:themeColor="accent6"/>
          <w:bottom w:val="single" w:sz="8" w:space="0" w:color="F1AF1A" w:themeColor="accent6"/>
          <w:right w:val="single" w:sz="8" w:space="0" w:color="F1AF1A" w:themeColor="accent6"/>
          <w:insideH w:val="nil"/>
          <w:insideV w:val="single" w:sz="8" w:space="0" w:color="F1AF1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AF1A" w:themeColor="accent6"/>
          <w:left w:val="single" w:sz="8" w:space="0" w:color="F1AF1A" w:themeColor="accent6"/>
          <w:bottom w:val="single" w:sz="8" w:space="0" w:color="F1AF1A" w:themeColor="accent6"/>
          <w:right w:val="single" w:sz="8" w:space="0" w:color="F1AF1A" w:themeColor="accent6"/>
        </w:tcBorders>
      </w:tcPr>
    </w:tblStylePr>
    <w:tblStylePr w:type="band1Vert">
      <w:tblPr/>
      <w:tcPr>
        <w:tcBorders>
          <w:top w:val="single" w:sz="8" w:space="0" w:color="F1AF1A" w:themeColor="accent6"/>
          <w:left w:val="single" w:sz="8" w:space="0" w:color="F1AF1A" w:themeColor="accent6"/>
          <w:bottom w:val="single" w:sz="8" w:space="0" w:color="F1AF1A" w:themeColor="accent6"/>
          <w:right w:val="single" w:sz="8" w:space="0" w:color="F1AF1A" w:themeColor="accent6"/>
        </w:tcBorders>
        <w:shd w:val="clear" w:color="auto" w:fill="FBEBC6" w:themeFill="accent6" w:themeFillTint="3F"/>
      </w:tcPr>
    </w:tblStylePr>
    <w:tblStylePr w:type="band1Horz">
      <w:tblPr/>
      <w:tcPr>
        <w:tcBorders>
          <w:top w:val="single" w:sz="8" w:space="0" w:color="F1AF1A" w:themeColor="accent6"/>
          <w:left w:val="single" w:sz="8" w:space="0" w:color="F1AF1A" w:themeColor="accent6"/>
          <w:bottom w:val="single" w:sz="8" w:space="0" w:color="F1AF1A" w:themeColor="accent6"/>
          <w:right w:val="single" w:sz="8" w:space="0" w:color="F1AF1A" w:themeColor="accent6"/>
          <w:insideV w:val="single" w:sz="8" w:space="0" w:color="F1AF1A" w:themeColor="accent6"/>
        </w:tcBorders>
        <w:shd w:val="clear" w:color="auto" w:fill="FBEBC6" w:themeFill="accent6" w:themeFillTint="3F"/>
      </w:tcPr>
    </w:tblStylePr>
    <w:tblStylePr w:type="band2Horz">
      <w:tblPr/>
      <w:tcPr>
        <w:tcBorders>
          <w:top w:val="single" w:sz="8" w:space="0" w:color="F1AF1A" w:themeColor="accent6"/>
          <w:left w:val="single" w:sz="8" w:space="0" w:color="F1AF1A" w:themeColor="accent6"/>
          <w:bottom w:val="single" w:sz="8" w:space="0" w:color="F1AF1A" w:themeColor="accent6"/>
          <w:right w:val="single" w:sz="8" w:space="0" w:color="F1AF1A" w:themeColor="accent6"/>
          <w:insideV w:val="single" w:sz="8" w:space="0" w:color="F1AF1A" w:themeColor="accent6"/>
        </w:tcBorders>
      </w:tcPr>
    </w:tblStylePr>
  </w:style>
  <w:style w:type="table" w:styleId="LightList">
    <w:name w:val="Light List"/>
    <w:basedOn w:val="TableNormal"/>
    <w:uiPriority w:val="61"/>
    <w:rsid w:val="00AF2717"/>
    <w:pPr>
      <w:spacing w:after="0" w:line="240" w:lineRule="auto"/>
    </w:pPr>
    <w:rPr>
      <w:rFonts w:ascii="Times New Roman" w:eastAsia="Times New Roman" w:hAnsi="Times New Roman" w:cs="Times New Roman"/>
      <w:lang w:eastAsia="en-GB"/>
    </w:rPr>
    <w:tblPr>
      <w:tblStyleRowBandSize w:val="1"/>
      <w:tblStyleColBandSize w:val="1"/>
      <w:tblBorders>
        <w:top w:val="single" w:sz="8" w:space="0" w:color="9B9795" w:themeColor="text1"/>
        <w:left w:val="single" w:sz="8" w:space="0" w:color="9B9795" w:themeColor="text1"/>
        <w:bottom w:val="single" w:sz="8" w:space="0" w:color="9B9795" w:themeColor="text1"/>
        <w:right w:val="single" w:sz="8" w:space="0" w:color="9B9795" w:themeColor="text1"/>
      </w:tblBorders>
    </w:tblPr>
    <w:tblStylePr w:type="firstRow">
      <w:pPr>
        <w:spacing w:before="0" w:after="0" w:line="240" w:lineRule="auto"/>
      </w:pPr>
      <w:rPr>
        <w:b/>
        <w:bCs/>
        <w:color w:val="FFFFFF" w:themeColor="background1"/>
      </w:rPr>
      <w:tblPr/>
      <w:tcPr>
        <w:shd w:val="clear" w:color="auto" w:fill="9B9795" w:themeFill="text1"/>
      </w:tcPr>
    </w:tblStylePr>
    <w:tblStylePr w:type="lastRow">
      <w:pPr>
        <w:spacing w:before="0" w:after="0" w:line="240" w:lineRule="auto"/>
      </w:pPr>
      <w:rPr>
        <w:b/>
        <w:bCs/>
      </w:rPr>
      <w:tblPr/>
      <w:tcPr>
        <w:tcBorders>
          <w:top w:val="double" w:sz="6" w:space="0" w:color="9B9795" w:themeColor="text1"/>
          <w:left w:val="single" w:sz="8" w:space="0" w:color="9B9795" w:themeColor="text1"/>
          <w:bottom w:val="single" w:sz="8" w:space="0" w:color="9B9795" w:themeColor="text1"/>
          <w:right w:val="single" w:sz="8" w:space="0" w:color="9B9795" w:themeColor="text1"/>
        </w:tcBorders>
      </w:tcPr>
    </w:tblStylePr>
    <w:tblStylePr w:type="firstCol">
      <w:rPr>
        <w:b/>
        <w:bCs/>
      </w:rPr>
    </w:tblStylePr>
    <w:tblStylePr w:type="lastCol">
      <w:rPr>
        <w:b/>
        <w:bCs/>
      </w:rPr>
    </w:tblStylePr>
    <w:tblStylePr w:type="band1Vert">
      <w:tblPr/>
      <w:tcPr>
        <w:tcBorders>
          <w:top w:val="single" w:sz="8" w:space="0" w:color="9B9795" w:themeColor="text1"/>
          <w:left w:val="single" w:sz="8" w:space="0" w:color="9B9795" w:themeColor="text1"/>
          <w:bottom w:val="single" w:sz="8" w:space="0" w:color="9B9795" w:themeColor="text1"/>
          <w:right w:val="single" w:sz="8" w:space="0" w:color="9B9795" w:themeColor="text1"/>
        </w:tcBorders>
      </w:tcPr>
    </w:tblStylePr>
    <w:tblStylePr w:type="band1Horz">
      <w:tblPr/>
      <w:tcPr>
        <w:tcBorders>
          <w:top w:val="single" w:sz="8" w:space="0" w:color="9B9795" w:themeColor="text1"/>
          <w:left w:val="single" w:sz="8" w:space="0" w:color="9B9795" w:themeColor="text1"/>
          <w:bottom w:val="single" w:sz="8" w:space="0" w:color="9B9795" w:themeColor="text1"/>
          <w:right w:val="single" w:sz="8" w:space="0" w:color="9B9795" w:themeColor="text1"/>
        </w:tcBorders>
      </w:tcPr>
    </w:tblStylePr>
  </w:style>
  <w:style w:type="table" w:styleId="LightList-Accent1">
    <w:name w:val="Light List Accent 1"/>
    <w:basedOn w:val="TableNormal"/>
    <w:uiPriority w:val="61"/>
    <w:rsid w:val="008552F5"/>
    <w:pPr>
      <w:spacing w:after="0" w:line="240" w:lineRule="auto"/>
    </w:pPr>
    <w:tblPr>
      <w:tblStyleRowBandSize w:val="1"/>
      <w:tblStyleColBandSize w:val="1"/>
      <w:tblBorders>
        <w:top w:val="single" w:sz="8" w:space="0" w:color="9B9795" w:themeColor="accent1"/>
        <w:left w:val="single" w:sz="8" w:space="0" w:color="9B9795" w:themeColor="accent1"/>
        <w:bottom w:val="single" w:sz="8" w:space="0" w:color="9B9795" w:themeColor="accent1"/>
        <w:right w:val="single" w:sz="8" w:space="0" w:color="9B9795" w:themeColor="accent1"/>
      </w:tblBorders>
    </w:tblPr>
    <w:tblStylePr w:type="firstRow">
      <w:pPr>
        <w:spacing w:before="0" w:after="0" w:line="240" w:lineRule="auto"/>
      </w:pPr>
      <w:rPr>
        <w:b/>
        <w:bCs/>
        <w:color w:val="FFFFFF" w:themeColor="background1"/>
      </w:rPr>
      <w:tblPr/>
      <w:tcPr>
        <w:shd w:val="clear" w:color="auto" w:fill="9B9795" w:themeFill="accent1"/>
      </w:tcPr>
    </w:tblStylePr>
    <w:tblStylePr w:type="lastRow">
      <w:pPr>
        <w:spacing w:before="0" w:after="0" w:line="240" w:lineRule="auto"/>
      </w:pPr>
      <w:rPr>
        <w:b/>
        <w:bCs/>
      </w:rPr>
      <w:tblPr/>
      <w:tcPr>
        <w:tcBorders>
          <w:top w:val="double" w:sz="6" w:space="0" w:color="9B9795" w:themeColor="accent1"/>
          <w:left w:val="single" w:sz="8" w:space="0" w:color="9B9795" w:themeColor="accent1"/>
          <w:bottom w:val="single" w:sz="8" w:space="0" w:color="9B9795" w:themeColor="accent1"/>
          <w:right w:val="single" w:sz="8" w:space="0" w:color="9B9795" w:themeColor="accent1"/>
        </w:tcBorders>
      </w:tcPr>
    </w:tblStylePr>
    <w:tblStylePr w:type="firstCol">
      <w:rPr>
        <w:b/>
        <w:bCs/>
      </w:rPr>
    </w:tblStylePr>
    <w:tblStylePr w:type="lastCol">
      <w:rPr>
        <w:b/>
        <w:bCs/>
      </w:rPr>
    </w:tblStylePr>
    <w:tblStylePr w:type="band1Vert">
      <w:tblPr/>
      <w:tcPr>
        <w:tcBorders>
          <w:top w:val="single" w:sz="8" w:space="0" w:color="9B9795" w:themeColor="accent1"/>
          <w:left w:val="single" w:sz="8" w:space="0" w:color="9B9795" w:themeColor="accent1"/>
          <w:bottom w:val="single" w:sz="8" w:space="0" w:color="9B9795" w:themeColor="accent1"/>
          <w:right w:val="single" w:sz="8" w:space="0" w:color="9B9795" w:themeColor="accent1"/>
        </w:tcBorders>
      </w:tcPr>
    </w:tblStylePr>
    <w:tblStylePr w:type="band1Horz">
      <w:tblPr/>
      <w:tcPr>
        <w:tcBorders>
          <w:top w:val="single" w:sz="8" w:space="0" w:color="9B9795" w:themeColor="accent1"/>
          <w:left w:val="single" w:sz="8" w:space="0" w:color="9B9795" w:themeColor="accent1"/>
          <w:bottom w:val="single" w:sz="8" w:space="0" w:color="9B9795" w:themeColor="accent1"/>
          <w:right w:val="single" w:sz="8" w:space="0" w:color="9B9795" w:themeColor="accent1"/>
        </w:tcBorders>
      </w:tcPr>
    </w:tblStylePr>
  </w:style>
  <w:style w:type="table" w:styleId="LightList-Accent2">
    <w:name w:val="Light List Accent 2"/>
    <w:basedOn w:val="TableNormal"/>
    <w:uiPriority w:val="61"/>
    <w:rsid w:val="008552F5"/>
    <w:pPr>
      <w:spacing w:after="0" w:line="240" w:lineRule="auto"/>
    </w:pPr>
    <w:tblPr>
      <w:tblStyleRowBandSize w:val="1"/>
      <w:tblStyleColBandSize w:val="1"/>
      <w:tblBorders>
        <w:top w:val="single" w:sz="8" w:space="0" w:color="CE7628" w:themeColor="accent2"/>
        <w:left w:val="single" w:sz="8" w:space="0" w:color="CE7628" w:themeColor="accent2"/>
        <w:bottom w:val="single" w:sz="8" w:space="0" w:color="CE7628" w:themeColor="accent2"/>
        <w:right w:val="single" w:sz="8" w:space="0" w:color="CE7628" w:themeColor="accent2"/>
      </w:tblBorders>
    </w:tblPr>
    <w:tblStylePr w:type="firstRow">
      <w:pPr>
        <w:spacing w:before="0" w:after="0" w:line="240" w:lineRule="auto"/>
      </w:pPr>
      <w:rPr>
        <w:b/>
        <w:bCs/>
        <w:color w:val="FFFFFF" w:themeColor="background1"/>
      </w:rPr>
      <w:tblPr/>
      <w:tcPr>
        <w:shd w:val="clear" w:color="auto" w:fill="CE7628" w:themeFill="accent2"/>
      </w:tcPr>
    </w:tblStylePr>
    <w:tblStylePr w:type="lastRow">
      <w:pPr>
        <w:spacing w:before="0" w:after="0" w:line="240" w:lineRule="auto"/>
      </w:pPr>
      <w:rPr>
        <w:b/>
        <w:bCs/>
      </w:rPr>
      <w:tblPr/>
      <w:tcPr>
        <w:tcBorders>
          <w:top w:val="double" w:sz="6" w:space="0" w:color="CE7628" w:themeColor="accent2"/>
          <w:left w:val="single" w:sz="8" w:space="0" w:color="CE7628" w:themeColor="accent2"/>
          <w:bottom w:val="single" w:sz="8" w:space="0" w:color="CE7628" w:themeColor="accent2"/>
          <w:right w:val="single" w:sz="8" w:space="0" w:color="CE7628" w:themeColor="accent2"/>
        </w:tcBorders>
      </w:tcPr>
    </w:tblStylePr>
    <w:tblStylePr w:type="firstCol">
      <w:rPr>
        <w:b/>
        <w:bCs/>
      </w:rPr>
    </w:tblStylePr>
    <w:tblStylePr w:type="lastCol">
      <w:rPr>
        <w:b/>
        <w:bCs/>
      </w:rPr>
    </w:tblStylePr>
    <w:tblStylePr w:type="band1Vert">
      <w:tblPr/>
      <w:tcPr>
        <w:tcBorders>
          <w:top w:val="single" w:sz="8" w:space="0" w:color="CE7628" w:themeColor="accent2"/>
          <w:left w:val="single" w:sz="8" w:space="0" w:color="CE7628" w:themeColor="accent2"/>
          <w:bottom w:val="single" w:sz="8" w:space="0" w:color="CE7628" w:themeColor="accent2"/>
          <w:right w:val="single" w:sz="8" w:space="0" w:color="CE7628" w:themeColor="accent2"/>
        </w:tcBorders>
      </w:tcPr>
    </w:tblStylePr>
    <w:tblStylePr w:type="band1Horz">
      <w:tblPr/>
      <w:tcPr>
        <w:tcBorders>
          <w:top w:val="single" w:sz="8" w:space="0" w:color="CE7628" w:themeColor="accent2"/>
          <w:left w:val="single" w:sz="8" w:space="0" w:color="CE7628" w:themeColor="accent2"/>
          <w:bottom w:val="single" w:sz="8" w:space="0" w:color="CE7628" w:themeColor="accent2"/>
          <w:right w:val="single" w:sz="8" w:space="0" w:color="CE7628" w:themeColor="accent2"/>
        </w:tcBorders>
      </w:tcPr>
    </w:tblStylePr>
  </w:style>
  <w:style w:type="table" w:styleId="LightList-Accent3">
    <w:name w:val="Light List Accent 3"/>
    <w:basedOn w:val="TableNormal"/>
    <w:uiPriority w:val="61"/>
    <w:rsid w:val="008552F5"/>
    <w:pPr>
      <w:spacing w:after="0" w:line="240" w:lineRule="auto"/>
    </w:pPr>
    <w:tblPr>
      <w:tblStyleRowBandSize w:val="1"/>
      <w:tblStyleColBandSize w:val="1"/>
      <w:tblBorders>
        <w:top w:val="single" w:sz="8" w:space="0" w:color="497537" w:themeColor="accent3"/>
        <w:left w:val="single" w:sz="8" w:space="0" w:color="497537" w:themeColor="accent3"/>
        <w:bottom w:val="single" w:sz="8" w:space="0" w:color="497537" w:themeColor="accent3"/>
        <w:right w:val="single" w:sz="8" w:space="0" w:color="497537" w:themeColor="accent3"/>
      </w:tblBorders>
    </w:tblPr>
    <w:tblStylePr w:type="firstRow">
      <w:pPr>
        <w:spacing w:before="0" w:after="0" w:line="240" w:lineRule="auto"/>
      </w:pPr>
      <w:rPr>
        <w:b/>
        <w:bCs/>
        <w:color w:val="FFFFFF" w:themeColor="background1"/>
      </w:rPr>
      <w:tblPr/>
      <w:tcPr>
        <w:shd w:val="clear" w:color="auto" w:fill="497537" w:themeFill="accent3"/>
      </w:tcPr>
    </w:tblStylePr>
    <w:tblStylePr w:type="lastRow">
      <w:pPr>
        <w:spacing w:before="0" w:after="0" w:line="240" w:lineRule="auto"/>
      </w:pPr>
      <w:rPr>
        <w:b/>
        <w:bCs/>
      </w:rPr>
      <w:tblPr/>
      <w:tcPr>
        <w:tcBorders>
          <w:top w:val="double" w:sz="6" w:space="0" w:color="497537" w:themeColor="accent3"/>
          <w:left w:val="single" w:sz="8" w:space="0" w:color="497537" w:themeColor="accent3"/>
          <w:bottom w:val="single" w:sz="8" w:space="0" w:color="497537" w:themeColor="accent3"/>
          <w:right w:val="single" w:sz="8" w:space="0" w:color="497537" w:themeColor="accent3"/>
        </w:tcBorders>
      </w:tcPr>
    </w:tblStylePr>
    <w:tblStylePr w:type="firstCol">
      <w:rPr>
        <w:b/>
        <w:bCs/>
      </w:rPr>
    </w:tblStylePr>
    <w:tblStylePr w:type="lastCol">
      <w:rPr>
        <w:b/>
        <w:bCs/>
      </w:rPr>
    </w:tblStylePr>
    <w:tblStylePr w:type="band1Vert">
      <w:tblPr/>
      <w:tcPr>
        <w:tcBorders>
          <w:top w:val="single" w:sz="8" w:space="0" w:color="497537" w:themeColor="accent3"/>
          <w:left w:val="single" w:sz="8" w:space="0" w:color="497537" w:themeColor="accent3"/>
          <w:bottom w:val="single" w:sz="8" w:space="0" w:color="497537" w:themeColor="accent3"/>
          <w:right w:val="single" w:sz="8" w:space="0" w:color="497537" w:themeColor="accent3"/>
        </w:tcBorders>
      </w:tcPr>
    </w:tblStylePr>
    <w:tblStylePr w:type="band1Horz">
      <w:tblPr/>
      <w:tcPr>
        <w:tcBorders>
          <w:top w:val="single" w:sz="8" w:space="0" w:color="497537" w:themeColor="accent3"/>
          <w:left w:val="single" w:sz="8" w:space="0" w:color="497537" w:themeColor="accent3"/>
          <w:bottom w:val="single" w:sz="8" w:space="0" w:color="497537" w:themeColor="accent3"/>
          <w:right w:val="single" w:sz="8" w:space="0" w:color="497537" w:themeColor="accent3"/>
        </w:tcBorders>
      </w:tcPr>
    </w:tblStylePr>
  </w:style>
  <w:style w:type="table" w:styleId="LightList-Accent4">
    <w:name w:val="Light List Accent 4"/>
    <w:basedOn w:val="TableNormal"/>
    <w:uiPriority w:val="61"/>
    <w:rsid w:val="008552F5"/>
    <w:pPr>
      <w:spacing w:after="0" w:line="240" w:lineRule="auto"/>
    </w:pPr>
    <w:tblPr>
      <w:tblStyleRowBandSize w:val="1"/>
      <w:tblStyleColBandSize w:val="1"/>
      <w:tblBorders>
        <w:top w:val="single" w:sz="8" w:space="0" w:color="A19836" w:themeColor="accent4"/>
        <w:left w:val="single" w:sz="8" w:space="0" w:color="A19836" w:themeColor="accent4"/>
        <w:bottom w:val="single" w:sz="8" w:space="0" w:color="A19836" w:themeColor="accent4"/>
        <w:right w:val="single" w:sz="8" w:space="0" w:color="A19836" w:themeColor="accent4"/>
      </w:tblBorders>
    </w:tblPr>
    <w:tblStylePr w:type="firstRow">
      <w:pPr>
        <w:spacing w:before="0" w:after="0" w:line="240" w:lineRule="auto"/>
      </w:pPr>
      <w:rPr>
        <w:b/>
        <w:bCs/>
        <w:color w:val="FFFFFF" w:themeColor="background1"/>
      </w:rPr>
      <w:tblPr/>
      <w:tcPr>
        <w:shd w:val="clear" w:color="auto" w:fill="A19836" w:themeFill="accent4"/>
      </w:tcPr>
    </w:tblStylePr>
    <w:tblStylePr w:type="lastRow">
      <w:pPr>
        <w:spacing w:before="0" w:after="0" w:line="240" w:lineRule="auto"/>
      </w:pPr>
      <w:rPr>
        <w:b/>
        <w:bCs/>
      </w:rPr>
      <w:tblPr/>
      <w:tcPr>
        <w:tcBorders>
          <w:top w:val="double" w:sz="6" w:space="0" w:color="A19836" w:themeColor="accent4"/>
          <w:left w:val="single" w:sz="8" w:space="0" w:color="A19836" w:themeColor="accent4"/>
          <w:bottom w:val="single" w:sz="8" w:space="0" w:color="A19836" w:themeColor="accent4"/>
          <w:right w:val="single" w:sz="8" w:space="0" w:color="A19836" w:themeColor="accent4"/>
        </w:tcBorders>
      </w:tcPr>
    </w:tblStylePr>
    <w:tblStylePr w:type="firstCol">
      <w:rPr>
        <w:b/>
        <w:bCs/>
      </w:rPr>
    </w:tblStylePr>
    <w:tblStylePr w:type="lastCol">
      <w:rPr>
        <w:b/>
        <w:bCs/>
      </w:rPr>
    </w:tblStylePr>
    <w:tblStylePr w:type="band1Vert">
      <w:tblPr/>
      <w:tcPr>
        <w:tcBorders>
          <w:top w:val="single" w:sz="8" w:space="0" w:color="A19836" w:themeColor="accent4"/>
          <w:left w:val="single" w:sz="8" w:space="0" w:color="A19836" w:themeColor="accent4"/>
          <w:bottom w:val="single" w:sz="8" w:space="0" w:color="A19836" w:themeColor="accent4"/>
          <w:right w:val="single" w:sz="8" w:space="0" w:color="A19836" w:themeColor="accent4"/>
        </w:tcBorders>
      </w:tcPr>
    </w:tblStylePr>
    <w:tblStylePr w:type="band1Horz">
      <w:tblPr/>
      <w:tcPr>
        <w:tcBorders>
          <w:top w:val="single" w:sz="8" w:space="0" w:color="A19836" w:themeColor="accent4"/>
          <w:left w:val="single" w:sz="8" w:space="0" w:color="A19836" w:themeColor="accent4"/>
          <w:bottom w:val="single" w:sz="8" w:space="0" w:color="A19836" w:themeColor="accent4"/>
          <w:right w:val="single" w:sz="8" w:space="0" w:color="A19836" w:themeColor="accent4"/>
        </w:tcBorders>
      </w:tcPr>
    </w:tblStylePr>
  </w:style>
  <w:style w:type="table" w:styleId="LightList-Accent5">
    <w:name w:val="Light List Accent 5"/>
    <w:basedOn w:val="TableNormal"/>
    <w:uiPriority w:val="61"/>
    <w:rsid w:val="008552F5"/>
    <w:pPr>
      <w:spacing w:after="0" w:line="240" w:lineRule="auto"/>
    </w:pPr>
    <w:tblPr>
      <w:tblStyleRowBandSize w:val="1"/>
      <w:tblStyleColBandSize w:val="1"/>
      <w:tblBorders>
        <w:top w:val="single" w:sz="8" w:space="0" w:color="753749" w:themeColor="accent5"/>
        <w:left w:val="single" w:sz="8" w:space="0" w:color="753749" w:themeColor="accent5"/>
        <w:bottom w:val="single" w:sz="8" w:space="0" w:color="753749" w:themeColor="accent5"/>
        <w:right w:val="single" w:sz="8" w:space="0" w:color="753749" w:themeColor="accent5"/>
      </w:tblBorders>
    </w:tblPr>
    <w:tblStylePr w:type="firstRow">
      <w:pPr>
        <w:spacing w:before="0" w:after="0" w:line="240" w:lineRule="auto"/>
      </w:pPr>
      <w:rPr>
        <w:b/>
        <w:bCs/>
        <w:color w:val="FFFFFF" w:themeColor="background1"/>
      </w:rPr>
      <w:tblPr/>
      <w:tcPr>
        <w:shd w:val="clear" w:color="auto" w:fill="753749" w:themeFill="accent5"/>
      </w:tcPr>
    </w:tblStylePr>
    <w:tblStylePr w:type="lastRow">
      <w:pPr>
        <w:spacing w:before="0" w:after="0" w:line="240" w:lineRule="auto"/>
      </w:pPr>
      <w:rPr>
        <w:b/>
        <w:bCs/>
      </w:rPr>
      <w:tblPr/>
      <w:tcPr>
        <w:tcBorders>
          <w:top w:val="double" w:sz="6" w:space="0" w:color="753749" w:themeColor="accent5"/>
          <w:left w:val="single" w:sz="8" w:space="0" w:color="753749" w:themeColor="accent5"/>
          <w:bottom w:val="single" w:sz="8" w:space="0" w:color="753749" w:themeColor="accent5"/>
          <w:right w:val="single" w:sz="8" w:space="0" w:color="753749" w:themeColor="accent5"/>
        </w:tcBorders>
      </w:tcPr>
    </w:tblStylePr>
    <w:tblStylePr w:type="firstCol">
      <w:rPr>
        <w:b/>
        <w:bCs/>
      </w:rPr>
    </w:tblStylePr>
    <w:tblStylePr w:type="lastCol">
      <w:rPr>
        <w:b/>
        <w:bCs/>
      </w:rPr>
    </w:tblStylePr>
    <w:tblStylePr w:type="band1Vert">
      <w:tblPr/>
      <w:tcPr>
        <w:tcBorders>
          <w:top w:val="single" w:sz="8" w:space="0" w:color="753749" w:themeColor="accent5"/>
          <w:left w:val="single" w:sz="8" w:space="0" w:color="753749" w:themeColor="accent5"/>
          <w:bottom w:val="single" w:sz="8" w:space="0" w:color="753749" w:themeColor="accent5"/>
          <w:right w:val="single" w:sz="8" w:space="0" w:color="753749" w:themeColor="accent5"/>
        </w:tcBorders>
      </w:tcPr>
    </w:tblStylePr>
    <w:tblStylePr w:type="band1Horz">
      <w:tblPr/>
      <w:tcPr>
        <w:tcBorders>
          <w:top w:val="single" w:sz="8" w:space="0" w:color="753749" w:themeColor="accent5"/>
          <w:left w:val="single" w:sz="8" w:space="0" w:color="753749" w:themeColor="accent5"/>
          <w:bottom w:val="single" w:sz="8" w:space="0" w:color="753749" w:themeColor="accent5"/>
          <w:right w:val="single" w:sz="8" w:space="0" w:color="753749" w:themeColor="accent5"/>
        </w:tcBorders>
      </w:tcPr>
    </w:tblStylePr>
  </w:style>
  <w:style w:type="table" w:styleId="LightList-Accent6">
    <w:name w:val="Light List Accent 6"/>
    <w:basedOn w:val="TableNormal"/>
    <w:uiPriority w:val="61"/>
    <w:rsid w:val="008552F5"/>
    <w:pPr>
      <w:spacing w:after="0" w:line="240" w:lineRule="auto"/>
    </w:pPr>
    <w:tblPr>
      <w:tblStyleRowBandSize w:val="1"/>
      <w:tblStyleColBandSize w:val="1"/>
      <w:tblBorders>
        <w:top w:val="single" w:sz="8" w:space="0" w:color="F1AF1A" w:themeColor="accent6"/>
        <w:left w:val="single" w:sz="8" w:space="0" w:color="F1AF1A" w:themeColor="accent6"/>
        <w:bottom w:val="single" w:sz="8" w:space="0" w:color="F1AF1A" w:themeColor="accent6"/>
        <w:right w:val="single" w:sz="8" w:space="0" w:color="F1AF1A" w:themeColor="accent6"/>
      </w:tblBorders>
    </w:tblPr>
    <w:tblStylePr w:type="firstRow">
      <w:pPr>
        <w:spacing w:before="0" w:after="0" w:line="240" w:lineRule="auto"/>
      </w:pPr>
      <w:rPr>
        <w:b/>
        <w:bCs/>
        <w:color w:val="FFFFFF" w:themeColor="background1"/>
      </w:rPr>
      <w:tblPr/>
      <w:tcPr>
        <w:shd w:val="clear" w:color="auto" w:fill="F1AF1A" w:themeFill="accent6"/>
      </w:tcPr>
    </w:tblStylePr>
    <w:tblStylePr w:type="lastRow">
      <w:pPr>
        <w:spacing w:before="0" w:after="0" w:line="240" w:lineRule="auto"/>
      </w:pPr>
      <w:rPr>
        <w:b/>
        <w:bCs/>
      </w:rPr>
      <w:tblPr/>
      <w:tcPr>
        <w:tcBorders>
          <w:top w:val="double" w:sz="6" w:space="0" w:color="F1AF1A" w:themeColor="accent6"/>
          <w:left w:val="single" w:sz="8" w:space="0" w:color="F1AF1A" w:themeColor="accent6"/>
          <w:bottom w:val="single" w:sz="8" w:space="0" w:color="F1AF1A" w:themeColor="accent6"/>
          <w:right w:val="single" w:sz="8" w:space="0" w:color="F1AF1A" w:themeColor="accent6"/>
        </w:tcBorders>
      </w:tcPr>
    </w:tblStylePr>
    <w:tblStylePr w:type="firstCol">
      <w:rPr>
        <w:b/>
        <w:bCs/>
      </w:rPr>
    </w:tblStylePr>
    <w:tblStylePr w:type="lastCol">
      <w:rPr>
        <w:b/>
        <w:bCs/>
      </w:rPr>
    </w:tblStylePr>
    <w:tblStylePr w:type="band1Vert">
      <w:tblPr/>
      <w:tcPr>
        <w:tcBorders>
          <w:top w:val="single" w:sz="8" w:space="0" w:color="F1AF1A" w:themeColor="accent6"/>
          <w:left w:val="single" w:sz="8" w:space="0" w:color="F1AF1A" w:themeColor="accent6"/>
          <w:bottom w:val="single" w:sz="8" w:space="0" w:color="F1AF1A" w:themeColor="accent6"/>
          <w:right w:val="single" w:sz="8" w:space="0" w:color="F1AF1A" w:themeColor="accent6"/>
        </w:tcBorders>
      </w:tcPr>
    </w:tblStylePr>
    <w:tblStylePr w:type="band1Horz">
      <w:tblPr/>
      <w:tcPr>
        <w:tcBorders>
          <w:top w:val="single" w:sz="8" w:space="0" w:color="F1AF1A" w:themeColor="accent6"/>
          <w:left w:val="single" w:sz="8" w:space="0" w:color="F1AF1A" w:themeColor="accent6"/>
          <w:bottom w:val="single" w:sz="8" w:space="0" w:color="F1AF1A" w:themeColor="accent6"/>
          <w:right w:val="single" w:sz="8" w:space="0" w:color="F1AF1A" w:themeColor="accent6"/>
        </w:tcBorders>
      </w:tcPr>
    </w:tblStylePr>
  </w:style>
  <w:style w:type="table" w:styleId="LightShading">
    <w:name w:val="Light Shading"/>
    <w:basedOn w:val="TableNormal"/>
    <w:uiPriority w:val="60"/>
    <w:rsid w:val="00AF2717"/>
    <w:pPr>
      <w:spacing w:after="0" w:line="240" w:lineRule="auto"/>
    </w:pPr>
    <w:rPr>
      <w:rFonts w:ascii="Times New Roman" w:eastAsia="Times New Roman" w:hAnsi="Times New Roman" w:cs="Times New Roman"/>
      <w:color w:val="75706E" w:themeColor="text1" w:themeShade="BF"/>
      <w:lang w:eastAsia="en-GB"/>
    </w:rPr>
    <w:tblPr>
      <w:tblStyleRowBandSize w:val="1"/>
      <w:tblStyleColBandSize w:val="1"/>
      <w:tblBorders>
        <w:top w:val="single" w:sz="8" w:space="0" w:color="9B9795" w:themeColor="text1"/>
        <w:bottom w:val="single" w:sz="8" w:space="0" w:color="9B9795" w:themeColor="text1"/>
      </w:tblBorders>
    </w:tblPr>
    <w:tblStylePr w:type="firstRow">
      <w:pPr>
        <w:spacing w:before="0" w:after="0" w:line="240" w:lineRule="auto"/>
      </w:pPr>
      <w:rPr>
        <w:b/>
        <w:bCs/>
      </w:rPr>
      <w:tblPr/>
      <w:tcPr>
        <w:tcBorders>
          <w:top w:val="single" w:sz="8" w:space="0" w:color="9B9795" w:themeColor="text1"/>
          <w:left w:val="nil"/>
          <w:bottom w:val="single" w:sz="8" w:space="0" w:color="9B9795" w:themeColor="text1"/>
          <w:right w:val="nil"/>
          <w:insideH w:val="nil"/>
          <w:insideV w:val="nil"/>
        </w:tcBorders>
      </w:tcPr>
    </w:tblStylePr>
    <w:tblStylePr w:type="lastRow">
      <w:pPr>
        <w:spacing w:before="0" w:after="0" w:line="240" w:lineRule="auto"/>
      </w:pPr>
      <w:rPr>
        <w:b/>
        <w:bCs/>
      </w:rPr>
      <w:tblPr/>
      <w:tcPr>
        <w:tcBorders>
          <w:top w:val="single" w:sz="8" w:space="0" w:color="9B9795" w:themeColor="text1"/>
          <w:left w:val="nil"/>
          <w:bottom w:val="single" w:sz="8" w:space="0" w:color="9B9795"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5E4" w:themeFill="text1" w:themeFillTint="3F"/>
      </w:tcPr>
    </w:tblStylePr>
    <w:tblStylePr w:type="band1Horz">
      <w:tblPr/>
      <w:tcPr>
        <w:tcBorders>
          <w:left w:val="nil"/>
          <w:right w:val="nil"/>
          <w:insideH w:val="nil"/>
          <w:insideV w:val="nil"/>
        </w:tcBorders>
        <w:shd w:val="clear" w:color="auto" w:fill="E6E5E4" w:themeFill="text1" w:themeFillTint="3F"/>
      </w:tcPr>
    </w:tblStylePr>
  </w:style>
  <w:style w:type="table" w:styleId="LightShading-Accent1">
    <w:name w:val="Light Shading Accent 1"/>
    <w:basedOn w:val="TableNormal"/>
    <w:uiPriority w:val="60"/>
    <w:rsid w:val="008552F5"/>
    <w:pPr>
      <w:spacing w:after="0" w:line="240" w:lineRule="auto"/>
    </w:pPr>
    <w:rPr>
      <w:color w:val="75706E" w:themeColor="accent1" w:themeShade="BF"/>
    </w:rPr>
    <w:tblPr>
      <w:tblStyleRowBandSize w:val="1"/>
      <w:tblStyleColBandSize w:val="1"/>
      <w:tblBorders>
        <w:top w:val="single" w:sz="8" w:space="0" w:color="9B9795" w:themeColor="accent1"/>
        <w:bottom w:val="single" w:sz="8" w:space="0" w:color="9B9795" w:themeColor="accent1"/>
      </w:tblBorders>
    </w:tblPr>
    <w:tblStylePr w:type="firstRow">
      <w:pPr>
        <w:spacing w:before="0" w:after="0" w:line="240" w:lineRule="auto"/>
      </w:pPr>
      <w:rPr>
        <w:b/>
        <w:bCs/>
      </w:rPr>
      <w:tblPr/>
      <w:tcPr>
        <w:tcBorders>
          <w:top w:val="single" w:sz="8" w:space="0" w:color="9B9795" w:themeColor="accent1"/>
          <w:left w:val="nil"/>
          <w:bottom w:val="single" w:sz="8" w:space="0" w:color="9B9795" w:themeColor="accent1"/>
          <w:right w:val="nil"/>
          <w:insideH w:val="nil"/>
          <w:insideV w:val="nil"/>
        </w:tcBorders>
      </w:tcPr>
    </w:tblStylePr>
    <w:tblStylePr w:type="lastRow">
      <w:pPr>
        <w:spacing w:before="0" w:after="0" w:line="240" w:lineRule="auto"/>
      </w:pPr>
      <w:rPr>
        <w:b/>
        <w:bCs/>
      </w:rPr>
      <w:tblPr/>
      <w:tcPr>
        <w:tcBorders>
          <w:top w:val="single" w:sz="8" w:space="0" w:color="9B9795" w:themeColor="accent1"/>
          <w:left w:val="nil"/>
          <w:bottom w:val="single" w:sz="8" w:space="0" w:color="9B979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5E4" w:themeFill="accent1" w:themeFillTint="3F"/>
      </w:tcPr>
    </w:tblStylePr>
    <w:tblStylePr w:type="band1Horz">
      <w:tblPr/>
      <w:tcPr>
        <w:tcBorders>
          <w:left w:val="nil"/>
          <w:right w:val="nil"/>
          <w:insideH w:val="nil"/>
          <w:insideV w:val="nil"/>
        </w:tcBorders>
        <w:shd w:val="clear" w:color="auto" w:fill="E6E5E4" w:themeFill="accent1" w:themeFillTint="3F"/>
      </w:tcPr>
    </w:tblStylePr>
  </w:style>
  <w:style w:type="table" w:styleId="LightShading-Accent2">
    <w:name w:val="Light Shading Accent 2"/>
    <w:basedOn w:val="TableNormal"/>
    <w:uiPriority w:val="60"/>
    <w:rsid w:val="008552F5"/>
    <w:pPr>
      <w:spacing w:after="0" w:line="240" w:lineRule="auto"/>
    </w:pPr>
    <w:rPr>
      <w:color w:val="9A571E" w:themeColor="accent2" w:themeShade="BF"/>
    </w:rPr>
    <w:tblPr>
      <w:tblStyleRowBandSize w:val="1"/>
      <w:tblStyleColBandSize w:val="1"/>
      <w:tblBorders>
        <w:top w:val="single" w:sz="8" w:space="0" w:color="CE7628" w:themeColor="accent2"/>
        <w:bottom w:val="single" w:sz="8" w:space="0" w:color="CE7628" w:themeColor="accent2"/>
      </w:tblBorders>
    </w:tblPr>
    <w:tblStylePr w:type="firstRow">
      <w:pPr>
        <w:spacing w:before="0" w:after="0" w:line="240" w:lineRule="auto"/>
      </w:pPr>
      <w:rPr>
        <w:b/>
        <w:bCs/>
      </w:rPr>
      <w:tblPr/>
      <w:tcPr>
        <w:tcBorders>
          <w:top w:val="single" w:sz="8" w:space="0" w:color="CE7628" w:themeColor="accent2"/>
          <w:left w:val="nil"/>
          <w:bottom w:val="single" w:sz="8" w:space="0" w:color="CE7628" w:themeColor="accent2"/>
          <w:right w:val="nil"/>
          <w:insideH w:val="nil"/>
          <w:insideV w:val="nil"/>
        </w:tcBorders>
      </w:tcPr>
    </w:tblStylePr>
    <w:tblStylePr w:type="lastRow">
      <w:pPr>
        <w:spacing w:before="0" w:after="0" w:line="240" w:lineRule="auto"/>
      </w:pPr>
      <w:rPr>
        <w:b/>
        <w:bCs/>
      </w:rPr>
      <w:tblPr/>
      <w:tcPr>
        <w:tcBorders>
          <w:top w:val="single" w:sz="8" w:space="0" w:color="CE7628" w:themeColor="accent2"/>
          <w:left w:val="nil"/>
          <w:bottom w:val="single" w:sz="8" w:space="0" w:color="CE762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CC8" w:themeFill="accent2" w:themeFillTint="3F"/>
      </w:tcPr>
    </w:tblStylePr>
    <w:tblStylePr w:type="band1Horz">
      <w:tblPr/>
      <w:tcPr>
        <w:tcBorders>
          <w:left w:val="nil"/>
          <w:right w:val="nil"/>
          <w:insideH w:val="nil"/>
          <w:insideV w:val="nil"/>
        </w:tcBorders>
        <w:shd w:val="clear" w:color="auto" w:fill="F4DCC8" w:themeFill="accent2" w:themeFillTint="3F"/>
      </w:tcPr>
    </w:tblStylePr>
  </w:style>
  <w:style w:type="table" w:styleId="LightShading-Accent3">
    <w:name w:val="Light Shading Accent 3"/>
    <w:basedOn w:val="TableNormal"/>
    <w:uiPriority w:val="60"/>
    <w:rsid w:val="008552F5"/>
    <w:pPr>
      <w:spacing w:after="0" w:line="240" w:lineRule="auto"/>
    </w:pPr>
    <w:rPr>
      <w:color w:val="365729" w:themeColor="accent3" w:themeShade="BF"/>
    </w:rPr>
    <w:tblPr>
      <w:tblStyleRowBandSize w:val="1"/>
      <w:tblStyleColBandSize w:val="1"/>
      <w:tblBorders>
        <w:top w:val="single" w:sz="8" w:space="0" w:color="497537" w:themeColor="accent3"/>
        <w:bottom w:val="single" w:sz="8" w:space="0" w:color="497537" w:themeColor="accent3"/>
      </w:tblBorders>
    </w:tblPr>
    <w:tblStylePr w:type="firstRow">
      <w:pPr>
        <w:spacing w:before="0" w:after="0" w:line="240" w:lineRule="auto"/>
      </w:pPr>
      <w:rPr>
        <w:b/>
        <w:bCs/>
      </w:rPr>
      <w:tblPr/>
      <w:tcPr>
        <w:tcBorders>
          <w:top w:val="single" w:sz="8" w:space="0" w:color="497537" w:themeColor="accent3"/>
          <w:left w:val="nil"/>
          <w:bottom w:val="single" w:sz="8" w:space="0" w:color="497537" w:themeColor="accent3"/>
          <w:right w:val="nil"/>
          <w:insideH w:val="nil"/>
          <w:insideV w:val="nil"/>
        </w:tcBorders>
      </w:tcPr>
    </w:tblStylePr>
    <w:tblStylePr w:type="lastRow">
      <w:pPr>
        <w:spacing w:before="0" w:after="0" w:line="240" w:lineRule="auto"/>
      </w:pPr>
      <w:rPr>
        <w:b/>
        <w:bCs/>
      </w:rPr>
      <w:tblPr/>
      <w:tcPr>
        <w:tcBorders>
          <w:top w:val="single" w:sz="8" w:space="0" w:color="497537" w:themeColor="accent3"/>
          <w:left w:val="nil"/>
          <w:bottom w:val="single" w:sz="8" w:space="0" w:color="49753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4C6" w:themeFill="accent3" w:themeFillTint="3F"/>
      </w:tcPr>
    </w:tblStylePr>
    <w:tblStylePr w:type="band1Horz">
      <w:tblPr/>
      <w:tcPr>
        <w:tcBorders>
          <w:left w:val="nil"/>
          <w:right w:val="nil"/>
          <w:insideH w:val="nil"/>
          <w:insideV w:val="nil"/>
        </w:tcBorders>
        <w:shd w:val="clear" w:color="auto" w:fill="CEE4C6" w:themeFill="accent3" w:themeFillTint="3F"/>
      </w:tcPr>
    </w:tblStylePr>
  </w:style>
  <w:style w:type="table" w:styleId="LightShading-Accent4">
    <w:name w:val="Light Shading Accent 4"/>
    <w:basedOn w:val="TableNormal"/>
    <w:uiPriority w:val="60"/>
    <w:rsid w:val="008552F5"/>
    <w:pPr>
      <w:spacing w:after="0" w:line="240" w:lineRule="auto"/>
    </w:pPr>
    <w:rPr>
      <w:color w:val="787128" w:themeColor="accent4" w:themeShade="BF"/>
    </w:rPr>
    <w:tblPr>
      <w:tblStyleRowBandSize w:val="1"/>
      <w:tblStyleColBandSize w:val="1"/>
      <w:tblBorders>
        <w:top w:val="single" w:sz="8" w:space="0" w:color="A19836" w:themeColor="accent4"/>
        <w:bottom w:val="single" w:sz="8" w:space="0" w:color="A19836" w:themeColor="accent4"/>
      </w:tblBorders>
    </w:tblPr>
    <w:tblStylePr w:type="firstRow">
      <w:pPr>
        <w:spacing w:before="0" w:after="0" w:line="240" w:lineRule="auto"/>
      </w:pPr>
      <w:rPr>
        <w:b/>
        <w:bCs/>
      </w:rPr>
      <w:tblPr/>
      <w:tcPr>
        <w:tcBorders>
          <w:top w:val="single" w:sz="8" w:space="0" w:color="A19836" w:themeColor="accent4"/>
          <w:left w:val="nil"/>
          <w:bottom w:val="single" w:sz="8" w:space="0" w:color="A19836" w:themeColor="accent4"/>
          <w:right w:val="nil"/>
          <w:insideH w:val="nil"/>
          <w:insideV w:val="nil"/>
        </w:tcBorders>
      </w:tcPr>
    </w:tblStylePr>
    <w:tblStylePr w:type="lastRow">
      <w:pPr>
        <w:spacing w:before="0" w:after="0" w:line="240" w:lineRule="auto"/>
      </w:pPr>
      <w:rPr>
        <w:b/>
        <w:bCs/>
      </w:rPr>
      <w:tblPr/>
      <w:tcPr>
        <w:tcBorders>
          <w:top w:val="single" w:sz="8" w:space="0" w:color="A19836" w:themeColor="accent4"/>
          <w:left w:val="nil"/>
          <w:bottom w:val="single" w:sz="8" w:space="0" w:color="A1983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9C8" w:themeFill="accent4" w:themeFillTint="3F"/>
      </w:tcPr>
    </w:tblStylePr>
    <w:tblStylePr w:type="band1Horz">
      <w:tblPr/>
      <w:tcPr>
        <w:tcBorders>
          <w:left w:val="nil"/>
          <w:right w:val="nil"/>
          <w:insideH w:val="nil"/>
          <w:insideV w:val="nil"/>
        </w:tcBorders>
        <w:shd w:val="clear" w:color="auto" w:fill="ECE9C8" w:themeFill="accent4" w:themeFillTint="3F"/>
      </w:tcPr>
    </w:tblStylePr>
  </w:style>
  <w:style w:type="table" w:styleId="LightShading-Accent5">
    <w:name w:val="Light Shading Accent 5"/>
    <w:basedOn w:val="TableNormal"/>
    <w:uiPriority w:val="60"/>
    <w:rsid w:val="008552F5"/>
    <w:pPr>
      <w:spacing w:after="0" w:line="240" w:lineRule="auto"/>
    </w:pPr>
    <w:rPr>
      <w:color w:val="572936" w:themeColor="accent5" w:themeShade="BF"/>
    </w:rPr>
    <w:tblPr>
      <w:tblStyleRowBandSize w:val="1"/>
      <w:tblStyleColBandSize w:val="1"/>
      <w:tblBorders>
        <w:top w:val="single" w:sz="8" w:space="0" w:color="753749" w:themeColor="accent5"/>
        <w:bottom w:val="single" w:sz="8" w:space="0" w:color="753749" w:themeColor="accent5"/>
      </w:tblBorders>
    </w:tblPr>
    <w:tblStylePr w:type="firstRow">
      <w:pPr>
        <w:spacing w:before="0" w:after="0" w:line="240" w:lineRule="auto"/>
      </w:pPr>
      <w:rPr>
        <w:b/>
        <w:bCs/>
      </w:rPr>
      <w:tblPr/>
      <w:tcPr>
        <w:tcBorders>
          <w:top w:val="single" w:sz="8" w:space="0" w:color="753749" w:themeColor="accent5"/>
          <w:left w:val="nil"/>
          <w:bottom w:val="single" w:sz="8" w:space="0" w:color="753749" w:themeColor="accent5"/>
          <w:right w:val="nil"/>
          <w:insideH w:val="nil"/>
          <w:insideV w:val="nil"/>
        </w:tcBorders>
      </w:tcPr>
    </w:tblStylePr>
    <w:tblStylePr w:type="lastRow">
      <w:pPr>
        <w:spacing w:before="0" w:after="0" w:line="240" w:lineRule="auto"/>
      </w:pPr>
      <w:rPr>
        <w:b/>
        <w:bCs/>
      </w:rPr>
      <w:tblPr/>
      <w:tcPr>
        <w:tcBorders>
          <w:top w:val="single" w:sz="8" w:space="0" w:color="753749" w:themeColor="accent5"/>
          <w:left w:val="nil"/>
          <w:bottom w:val="single" w:sz="8" w:space="0" w:color="75374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C6CE" w:themeFill="accent5" w:themeFillTint="3F"/>
      </w:tcPr>
    </w:tblStylePr>
    <w:tblStylePr w:type="band1Horz">
      <w:tblPr/>
      <w:tcPr>
        <w:tcBorders>
          <w:left w:val="nil"/>
          <w:right w:val="nil"/>
          <w:insideH w:val="nil"/>
          <w:insideV w:val="nil"/>
        </w:tcBorders>
        <w:shd w:val="clear" w:color="auto" w:fill="E4C6CE" w:themeFill="accent5" w:themeFillTint="3F"/>
      </w:tcPr>
    </w:tblStylePr>
  </w:style>
  <w:style w:type="table" w:styleId="LightShading-Accent6">
    <w:name w:val="Light Shading Accent 6"/>
    <w:basedOn w:val="TableNormal"/>
    <w:uiPriority w:val="60"/>
    <w:rsid w:val="008552F5"/>
    <w:pPr>
      <w:spacing w:after="0" w:line="240" w:lineRule="auto"/>
    </w:pPr>
    <w:rPr>
      <w:color w:val="BC850B" w:themeColor="accent6" w:themeShade="BF"/>
    </w:rPr>
    <w:tblPr>
      <w:tblStyleRowBandSize w:val="1"/>
      <w:tblStyleColBandSize w:val="1"/>
      <w:tblBorders>
        <w:top w:val="single" w:sz="8" w:space="0" w:color="F1AF1A" w:themeColor="accent6"/>
        <w:bottom w:val="single" w:sz="8" w:space="0" w:color="F1AF1A" w:themeColor="accent6"/>
      </w:tblBorders>
    </w:tblPr>
    <w:tblStylePr w:type="firstRow">
      <w:pPr>
        <w:spacing w:before="0" w:after="0" w:line="240" w:lineRule="auto"/>
      </w:pPr>
      <w:rPr>
        <w:b/>
        <w:bCs/>
      </w:rPr>
      <w:tblPr/>
      <w:tcPr>
        <w:tcBorders>
          <w:top w:val="single" w:sz="8" w:space="0" w:color="F1AF1A" w:themeColor="accent6"/>
          <w:left w:val="nil"/>
          <w:bottom w:val="single" w:sz="8" w:space="0" w:color="F1AF1A" w:themeColor="accent6"/>
          <w:right w:val="nil"/>
          <w:insideH w:val="nil"/>
          <w:insideV w:val="nil"/>
        </w:tcBorders>
      </w:tcPr>
    </w:tblStylePr>
    <w:tblStylePr w:type="lastRow">
      <w:pPr>
        <w:spacing w:before="0" w:after="0" w:line="240" w:lineRule="auto"/>
      </w:pPr>
      <w:rPr>
        <w:b/>
        <w:bCs/>
      </w:rPr>
      <w:tblPr/>
      <w:tcPr>
        <w:tcBorders>
          <w:top w:val="single" w:sz="8" w:space="0" w:color="F1AF1A" w:themeColor="accent6"/>
          <w:left w:val="nil"/>
          <w:bottom w:val="single" w:sz="8" w:space="0" w:color="F1AF1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BC6" w:themeFill="accent6" w:themeFillTint="3F"/>
      </w:tcPr>
    </w:tblStylePr>
    <w:tblStylePr w:type="band1Horz">
      <w:tblPr/>
      <w:tcPr>
        <w:tcBorders>
          <w:left w:val="nil"/>
          <w:right w:val="nil"/>
          <w:insideH w:val="nil"/>
          <w:insideV w:val="nil"/>
        </w:tcBorders>
        <w:shd w:val="clear" w:color="auto" w:fill="FBEBC6" w:themeFill="accent6" w:themeFillTint="3F"/>
      </w:tcPr>
    </w:tblStylePr>
  </w:style>
  <w:style w:type="character" w:styleId="LineNumber">
    <w:name w:val="line number"/>
    <w:basedOn w:val="DefaultParagraphFont"/>
    <w:uiPriority w:val="99"/>
    <w:semiHidden/>
    <w:unhideWhenUsed/>
    <w:rsid w:val="00B200AF"/>
  </w:style>
  <w:style w:type="paragraph" w:styleId="List">
    <w:name w:val="List"/>
    <w:basedOn w:val="Normal"/>
    <w:uiPriority w:val="99"/>
    <w:semiHidden/>
    <w:unhideWhenUsed/>
    <w:rsid w:val="00B200AF"/>
    <w:pPr>
      <w:ind w:left="283" w:hanging="283"/>
      <w:contextualSpacing/>
    </w:pPr>
  </w:style>
  <w:style w:type="paragraph" w:styleId="List2">
    <w:name w:val="List 2"/>
    <w:basedOn w:val="Normal"/>
    <w:uiPriority w:val="99"/>
    <w:semiHidden/>
    <w:unhideWhenUsed/>
    <w:rsid w:val="00B200AF"/>
    <w:pPr>
      <w:ind w:left="566" w:hanging="283"/>
      <w:contextualSpacing/>
    </w:pPr>
  </w:style>
  <w:style w:type="paragraph" w:styleId="List3">
    <w:name w:val="List 3"/>
    <w:basedOn w:val="Normal"/>
    <w:uiPriority w:val="99"/>
    <w:semiHidden/>
    <w:unhideWhenUsed/>
    <w:rsid w:val="00B200AF"/>
    <w:pPr>
      <w:ind w:left="849" w:hanging="283"/>
      <w:contextualSpacing/>
    </w:pPr>
  </w:style>
  <w:style w:type="paragraph" w:styleId="List4">
    <w:name w:val="List 4"/>
    <w:basedOn w:val="Normal"/>
    <w:uiPriority w:val="99"/>
    <w:semiHidden/>
    <w:unhideWhenUsed/>
    <w:rsid w:val="00B200AF"/>
    <w:pPr>
      <w:ind w:left="1132" w:hanging="283"/>
      <w:contextualSpacing/>
    </w:pPr>
  </w:style>
  <w:style w:type="paragraph" w:styleId="List5">
    <w:name w:val="List 5"/>
    <w:basedOn w:val="Normal"/>
    <w:uiPriority w:val="99"/>
    <w:semiHidden/>
    <w:unhideWhenUsed/>
    <w:rsid w:val="00B200AF"/>
    <w:pPr>
      <w:ind w:left="1415" w:hanging="283"/>
      <w:contextualSpacing/>
    </w:pPr>
  </w:style>
  <w:style w:type="paragraph" w:styleId="ListBullet">
    <w:name w:val="List Bullet"/>
    <w:basedOn w:val="Normal"/>
    <w:uiPriority w:val="99"/>
    <w:semiHidden/>
    <w:unhideWhenUsed/>
    <w:rsid w:val="00B200AF"/>
    <w:pPr>
      <w:numPr>
        <w:numId w:val="1"/>
      </w:numPr>
      <w:contextualSpacing/>
    </w:pPr>
  </w:style>
  <w:style w:type="paragraph" w:styleId="ListBullet2">
    <w:name w:val="List Bullet 2"/>
    <w:basedOn w:val="Normal"/>
    <w:uiPriority w:val="99"/>
    <w:semiHidden/>
    <w:unhideWhenUsed/>
    <w:rsid w:val="00B200AF"/>
    <w:pPr>
      <w:numPr>
        <w:numId w:val="3"/>
      </w:numPr>
      <w:contextualSpacing/>
    </w:pPr>
  </w:style>
  <w:style w:type="paragraph" w:styleId="ListBullet3">
    <w:name w:val="List Bullet 3"/>
    <w:basedOn w:val="Normal"/>
    <w:uiPriority w:val="99"/>
    <w:semiHidden/>
    <w:unhideWhenUsed/>
    <w:rsid w:val="00B200AF"/>
    <w:pPr>
      <w:numPr>
        <w:numId w:val="4"/>
      </w:numPr>
      <w:contextualSpacing/>
    </w:pPr>
  </w:style>
  <w:style w:type="paragraph" w:styleId="ListBullet4">
    <w:name w:val="List Bullet 4"/>
    <w:basedOn w:val="Normal"/>
    <w:uiPriority w:val="99"/>
    <w:semiHidden/>
    <w:unhideWhenUsed/>
    <w:rsid w:val="00B200AF"/>
    <w:pPr>
      <w:numPr>
        <w:numId w:val="5"/>
      </w:numPr>
      <w:contextualSpacing/>
    </w:pPr>
  </w:style>
  <w:style w:type="paragraph" w:styleId="ListBullet5">
    <w:name w:val="List Bullet 5"/>
    <w:basedOn w:val="Normal"/>
    <w:uiPriority w:val="99"/>
    <w:semiHidden/>
    <w:unhideWhenUsed/>
    <w:rsid w:val="00B200AF"/>
    <w:pPr>
      <w:numPr>
        <w:numId w:val="6"/>
      </w:numPr>
      <w:contextualSpacing/>
    </w:pPr>
  </w:style>
  <w:style w:type="paragraph" w:styleId="ListContinue">
    <w:name w:val="List Continue"/>
    <w:basedOn w:val="Normal"/>
    <w:uiPriority w:val="99"/>
    <w:semiHidden/>
    <w:unhideWhenUsed/>
    <w:rsid w:val="00B200AF"/>
    <w:pPr>
      <w:spacing w:after="120"/>
      <w:ind w:left="283"/>
      <w:contextualSpacing/>
    </w:pPr>
  </w:style>
  <w:style w:type="paragraph" w:styleId="ListContinue2">
    <w:name w:val="List Continue 2"/>
    <w:basedOn w:val="Normal"/>
    <w:uiPriority w:val="99"/>
    <w:semiHidden/>
    <w:unhideWhenUsed/>
    <w:rsid w:val="00B200AF"/>
    <w:pPr>
      <w:spacing w:after="120"/>
      <w:ind w:left="566"/>
      <w:contextualSpacing/>
    </w:pPr>
  </w:style>
  <w:style w:type="paragraph" w:styleId="ListContinue3">
    <w:name w:val="List Continue 3"/>
    <w:basedOn w:val="Normal"/>
    <w:uiPriority w:val="99"/>
    <w:semiHidden/>
    <w:unhideWhenUsed/>
    <w:rsid w:val="00B200AF"/>
    <w:pPr>
      <w:spacing w:after="120"/>
      <w:ind w:left="849"/>
      <w:contextualSpacing/>
    </w:pPr>
  </w:style>
  <w:style w:type="paragraph" w:styleId="ListContinue4">
    <w:name w:val="List Continue 4"/>
    <w:basedOn w:val="Normal"/>
    <w:uiPriority w:val="99"/>
    <w:semiHidden/>
    <w:unhideWhenUsed/>
    <w:rsid w:val="00B200AF"/>
    <w:pPr>
      <w:spacing w:after="120"/>
      <w:ind w:left="1132"/>
      <w:contextualSpacing/>
    </w:pPr>
  </w:style>
  <w:style w:type="paragraph" w:styleId="ListContinue5">
    <w:name w:val="List Continue 5"/>
    <w:basedOn w:val="Normal"/>
    <w:uiPriority w:val="99"/>
    <w:semiHidden/>
    <w:unhideWhenUsed/>
    <w:rsid w:val="00B200AF"/>
    <w:pPr>
      <w:spacing w:after="120"/>
      <w:ind w:left="1415"/>
      <w:contextualSpacing/>
    </w:pPr>
  </w:style>
  <w:style w:type="paragraph" w:styleId="ListNumber">
    <w:name w:val="List Number"/>
    <w:basedOn w:val="Normal"/>
    <w:uiPriority w:val="99"/>
    <w:semiHidden/>
    <w:unhideWhenUsed/>
    <w:rsid w:val="00B200AF"/>
    <w:pPr>
      <w:numPr>
        <w:numId w:val="2"/>
      </w:numPr>
      <w:contextualSpacing/>
    </w:pPr>
  </w:style>
  <w:style w:type="paragraph" w:styleId="ListNumber2">
    <w:name w:val="List Number 2"/>
    <w:basedOn w:val="Normal"/>
    <w:uiPriority w:val="99"/>
    <w:semiHidden/>
    <w:unhideWhenUsed/>
    <w:rsid w:val="00B200AF"/>
    <w:pPr>
      <w:numPr>
        <w:numId w:val="7"/>
      </w:numPr>
      <w:contextualSpacing/>
    </w:pPr>
  </w:style>
  <w:style w:type="paragraph" w:styleId="ListNumber3">
    <w:name w:val="List Number 3"/>
    <w:basedOn w:val="Normal"/>
    <w:uiPriority w:val="99"/>
    <w:semiHidden/>
    <w:unhideWhenUsed/>
    <w:rsid w:val="00B200AF"/>
    <w:pPr>
      <w:numPr>
        <w:numId w:val="8"/>
      </w:numPr>
      <w:contextualSpacing/>
    </w:pPr>
  </w:style>
  <w:style w:type="paragraph" w:styleId="ListNumber4">
    <w:name w:val="List Number 4"/>
    <w:basedOn w:val="Normal"/>
    <w:uiPriority w:val="99"/>
    <w:semiHidden/>
    <w:unhideWhenUsed/>
    <w:rsid w:val="00B200AF"/>
    <w:pPr>
      <w:numPr>
        <w:numId w:val="9"/>
      </w:numPr>
      <w:contextualSpacing/>
    </w:pPr>
  </w:style>
  <w:style w:type="paragraph" w:styleId="ListNumber5">
    <w:name w:val="List Number 5"/>
    <w:basedOn w:val="Normal"/>
    <w:uiPriority w:val="99"/>
    <w:semiHidden/>
    <w:unhideWhenUsed/>
    <w:rsid w:val="00B200AF"/>
    <w:pPr>
      <w:numPr>
        <w:numId w:val="10"/>
      </w:numPr>
      <w:contextualSpacing/>
    </w:pPr>
  </w:style>
  <w:style w:type="paragraph" w:styleId="MacroText">
    <w:name w:val="macro"/>
    <w:link w:val="MacroTextChar"/>
    <w:uiPriority w:val="99"/>
    <w:semiHidden/>
    <w:unhideWhenUsed/>
    <w:rsid w:val="00B200AF"/>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cs="Consolas"/>
      <w:lang w:val="en-AU"/>
    </w:rPr>
  </w:style>
  <w:style w:type="character" w:customStyle="1" w:styleId="MacroTextChar">
    <w:name w:val="Macro Text Char"/>
    <w:basedOn w:val="DefaultParagraphFont"/>
    <w:link w:val="MacroText"/>
    <w:uiPriority w:val="99"/>
    <w:semiHidden/>
    <w:rsid w:val="00B200AF"/>
    <w:rPr>
      <w:rFonts w:ascii="Consolas" w:hAnsi="Consolas" w:cs="Consolas"/>
      <w:sz w:val="20"/>
      <w:szCs w:val="20"/>
      <w:lang w:val="en-AU"/>
    </w:rPr>
  </w:style>
  <w:style w:type="table" w:styleId="MediumGrid1">
    <w:name w:val="Medium Grid 1"/>
    <w:basedOn w:val="TableNormal"/>
    <w:uiPriority w:val="67"/>
    <w:rsid w:val="008552F5"/>
    <w:pPr>
      <w:spacing w:after="0" w:line="240" w:lineRule="auto"/>
    </w:pPr>
    <w:tblPr>
      <w:tblStyleRowBandSize w:val="1"/>
      <w:tblStyleColBandSize w:val="1"/>
      <w:tblBorders>
        <w:top w:val="single" w:sz="8" w:space="0" w:color="B4B1AF" w:themeColor="text1" w:themeTint="BF"/>
        <w:left w:val="single" w:sz="8" w:space="0" w:color="B4B1AF" w:themeColor="text1" w:themeTint="BF"/>
        <w:bottom w:val="single" w:sz="8" w:space="0" w:color="B4B1AF" w:themeColor="text1" w:themeTint="BF"/>
        <w:right w:val="single" w:sz="8" w:space="0" w:color="B4B1AF" w:themeColor="text1" w:themeTint="BF"/>
        <w:insideH w:val="single" w:sz="8" w:space="0" w:color="B4B1AF" w:themeColor="text1" w:themeTint="BF"/>
        <w:insideV w:val="single" w:sz="8" w:space="0" w:color="B4B1AF" w:themeColor="text1" w:themeTint="BF"/>
      </w:tblBorders>
    </w:tblPr>
    <w:tcPr>
      <w:shd w:val="clear" w:color="auto" w:fill="E6E5E4" w:themeFill="text1" w:themeFillTint="3F"/>
    </w:tcPr>
    <w:tblStylePr w:type="firstRow">
      <w:rPr>
        <w:b/>
        <w:bCs/>
      </w:rPr>
    </w:tblStylePr>
    <w:tblStylePr w:type="lastRow">
      <w:rPr>
        <w:b/>
        <w:bCs/>
      </w:rPr>
      <w:tblPr/>
      <w:tcPr>
        <w:tcBorders>
          <w:top w:val="single" w:sz="18" w:space="0" w:color="B4B1AF" w:themeColor="text1" w:themeTint="BF"/>
        </w:tcBorders>
      </w:tcPr>
    </w:tblStylePr>
    <w:tblStylePr w:type="firstCol">
      <w:rPr>
        <w:b/>
        <w:bCs/>
      </w:rPr>
    </w:tblStylePr>
    <w:tblStylePr w:type="lastCol">
      <w:rPr>
        <w:b/>
        <w:bCs/>
      </w:rPr>
    </w:tblStylePr>
    <w:tblStylePr w:type="band1Vert">
      <w:tblPr/>
      <w:tcPr>
        <w:shd w:val="clear" w:color="auto" w:fill="CDCBCA" w:themeFill="text1" w:themeFillTint="7F"/>
      </w:tcPr>
    </w:tblStylePr>
    <w:tblStylePr w:type="band1Horz">
      <w:tblPr/>
      <w:tcPr>
        <w:shd w:val="clear" w:color="auto" w:fill="CDCBCA" w:themeFill="text1" w:themeFillTint="7F"/>
      </w:tcPr>
    </w:tblStylePr>
  </w:style>
  <w:style w:type="table" w:styleId="MediumGrid1-Accent1">
    <w:name w:val="Medium Grid 1 Accent 1"/>
    <w:basedOn w:val="TableNormal"/>
    <w:uiPriority w:val="67"/>
    <w:rsid w:val="008552F5"/>
    <w:pPr>
      <w:spacing w:after="0" w:line="240" w:lineRule="auto"/>
    </w:pPr>
    <w:tblPr>
      <w:tblStyleRowBandSize w:val="1"/>
      <w:tblStyleColBandSize w:val="1"/>
      <w:tblBorders>
        <w:top w:val="single" w:sz="8" w:space="0" w:color="B4B1AF" w:themeColor="accent1" w:themeTint="BF"/>
        <w:left w:val="single" w:sz="8" w:space="0" w:color="B4B1AF" w:themeColor="accent1" w:themeTint="BF"/>
        <w:bottom w:val="single" w:sz="8" w:space="0" w:color="B4B1AF" w:themeColor="accent1" w:themeTint="BF"/>
        <w:right w:val="single" w:sz="8" w:space="0" w:color="B4B1AF" w:themeColor="accent1" w:themeTint="BF"/>
        <w:insideH w:val="single" w:sz="8" w:space="0" w:color="B4B1AF" w:themeColor="accent1" w:themeTint="BF"/>
        <w:insideV w:val="single" w:sz="8" w:space="0" w:color="B4B1AF" w:themeColor="accent1" w:themeTint="BF"/>
      </w:tblBorders>
    </w:tblPr>
    <w:tcPr>
      <w:shd w:val="clear" w:color="auto" w:fill="E6E5E4" w:themeFill="accent1" w:themeFillTint="3F"/>
    </w:tcPr>
    <w:tblStylePr w:type="firstRow">
      <w:rPr>
        <w:b/>
        <w:bCs/>
      </w:rPr>
    </w:tblStylePr>
    <w:tblStylePr w:type="lastRow">
      <w:rPr>
        <w:b/>
        <w:bCs/>
      </w:rPr>
      <w:tblPr/>
      <w:tcPr>
        <w:tcBorders>
          <w:top w:val="single" w:sz="18" w:space="0" w:color="B4B1AF" w:themeColor="accent1" w:themeTint="BF"/>
        </w:tcBorders>
      </w:tcPr>
    </w:tblStylePr>
    <w:tblStylePr w:type="firstCol">
      <w:rPr>
        <w:b/>
        <w:bCs/>
      </w:rPr>
    </w:tblStylePr>
    <w:tblStylePr w:type="lastCol">
      <w:rPr>
        <w:b/>
        <w:bCs/>
      </w:rPr>
    </w:tblStylePr>
    <w:tblStylePr w:type="band1Vert">
      <w:tblPr/>
      <w:tcPr>
        <w:shd w:val="clear" w:color="auto" w:fill="CDCBCA" w:themeFill="accent1" w:themeFillTint="7F"/>
      </w:tcPr>
    </w:tblStylePr>
    <w:tblStylePr w:type="band1Horz">
      <w:tblPr/>
      <w:tcPr>
        <w:shd w:val="clear" w:color="auto" w:fill="CDCBCA" w:themeFill="accent1" w:themeFillTint="7F"/>
      </w:tcPr>
    </w:tblStylePr>
  </w:style>
  <w:style w:type="table" w:styleId="MediumGrid1-Accent2">
    <w:name w:val="Medium Grid 1 Accent 2"/>
    <w:basedOn w:val="TableNormal"/>
    <w:uiPriority w:val="67"/>
    <w:rsid w:val="008552F5"/>
    <w:pPr>
      <w:spacing w:after="0" w:line="240" w:lineRule="auto"/>
    </w:pPr>
    <w:tblPr>
      <w:tblStyleRowBandSize w:val="1"/>
      <w:tblStyleColBandSize w:val="1"/>
      <w:tblBorders>
        <w:top w:val="single" w:sz="8" w:space="0" w:color="DE9759" w:themeColor="accent2" w:themeTint="BF"/>
        <w:left w:val="single" w:sz="8" w:space="0" w:color="DE9759" w:themeColor="accent2" w:themeTint="BF"/>
        <w:bottom w:val="single" w:sz="8" w:space="0" w:color="DE9759" w:themeColor="accent2" w:themeTint="BF"/>
        <w:right w:val="single" w:sz="8" w:space="0" w:color="DE9759" w:themeColor="accent2" w:themeTint="BF"/>
        <w:insideH w:val="single" w:sz="8" w:space="0" w:color="DE9759" w:themeColor="accent2" w:themeTint="BF"/>
        <w:insideV w:val="single" w:sz="8" w:space="0" w:color="DE9759" w:themeColor="accent2" w:themeTint="BF"/>
      </w:tblBorders>
    </w:tblPr>
    <w:tcPr>
      <w:shd w:val="clear" w:color="auto" w:fill="F4DCC8" w:themeFill="accent2" w:themeFillTint="3F"/>
    </w:tcPr>
    <w:tblStylePr w:type="firstRow">
      <w:rPr>
        <w:b/>
        <w:bCs/>
      </w:rPr>
    </w:tblStylePr>
    <w:tblStylePr w:type="lastRow">
      <w:rPr>
        <w:b/>
        <w:bCs/>
      </w:rPr>
      <w:tblPr/>
      <w:tcPr>
        <w:tcBorders>
          <w:top w:val="single" w:sz="18" w:space="0" w:color="DE9759" w:themeColor="accent2" w:themeTint="BF"/>
        </w:tcBorders>
      </w:tcPr>
    </w:tblStylePr>
    <w:tblStylePr w:type="firstCol">
      <w:rPr>
        <w:b/>
        <w:bCs/>
      </w:rPr>
    </w:tblStylePr>
    <w:tblStylePr w:type="lastCol">
      <w:rPr>
        <w:b/>
        <w:bCs/>
      </w:rPr>
    </w:tblStylePr>
    <w:tblStylePr w:type="band1Vert">
      <w:tblPr/>
      <w:tcPr>
        <w:shd w:val="clear" w:color="auto" w:fill="E9BA90" w:themeFill="accent2" w:themeFillTint="7F"/>
      </w:tcPr>
    </w:tblStylePr>
    <w:tblStylePr w:type="band1Horz">
      <w:tblPr/>
      <w:tcPr>
        <w:shd w:val="clear" w:color="auto" w:fill="E9BA90" w:themeFill="accent2" w:themeFillTint="7F"/>
      </w:tcPr>
    </w:tblStylePr>
  </w:style>
  <w:style w:type="table" w:styleId="MediumGrid1-Accent3">
    <w:name w:val="Medium Grid 1 Accent 3"/>
    <w:basedOn w:val="TableNormal"/>
    <w:uiPriority w:val="67"/>
    <w:rsid w:val="008552F5"/>
    <w:pPr>
      <w:spacing w:after="0" w:line="240" w:lineRule="auto"/>
    </w:pPr>
    <w:tblPr>
      <w:tblStyleRowBandSize w:val="1"/>
      <w:tblStyleColBandSize w:val="1"/>
      <w:tblBorders>
        <w:top w:val="single" w:sz="8" w:space="0" w:color="6DAE52" w:themeColor="accent3" w:themeTint="BF"/>
        <w:left w:val="single" w:sz="8" w:space="0" w:color="6DAE52" w:themeColor="accent3" w:themeTint="BF"/>
        <w:bottom w:val="single" w:sz="8" w:space="0" w:color="6DAE52" w:themeColor="accent3" w:themeTint="BF"/>
        <w:right w:val="single" w:sz="8" w:space="0" w:color="6DAE52" w:themeColor="accent3" w:themeTint="BF"/>
        <w:insideH w:val="single" w:sz="8" w:space="0" w:color="6DAE52" w:themeColor="accent3" w:themeTint="BF"/>
        <w:insideV w:val="single" w:sz="8" w:space="0" w:color="6DAE52" w:themeColor="accent3" w:themeTint="BF"/>
      </w:tblBorders>
    </w:tblPr>
    <w:tcPr>
      <w:shd w:val="clear" w:color="auto" w:fill="CEE4C6" w:themeFill="accent3" w:themeFillTint="3F"/>
    </w:tcPr>
    <w:tblStylePr w:type="firstRow">
      <w:rPr>
        <w:b/>
        <w:bCs/>
      </w:rPr>
    </w:tblStylePr>
    <w:tblStylePr w:type="lastRow">
      <w:rPr>
        <w:b/>
        <w:bCs/>
      </w:rPr>
      <w:tblPr/>
      <w:tcPr>
        <w:tcBorders>
          <w:top w:val="single" w:sz="18" w:space="0" w:color="6DAE52" w:themeColor="accent3" w:themeTint="BF"/>
        </w:tcBorders>
      </w:tcPr>
    </w:tblStylePr>
    <w:tblStylePr w:type="firstCol">
      <w:rPr>
        <w:b/>
        <w:bCs/>
      </w:rPr>
    </w:tblStylePr>
    <w:tblStylePr w:type="lastCol">
      <w:rPr>
        <w:b/>
        <w:bCs/>
      </w:rPr>
    </w:tblStylePr>
    <w:tblStylePr w:type="band1Vert">
      <w:tblPr/>
      <w:tcPr>
        <w:shd w:val="clear" w:color="auto" w:fill="9DC98C" w:themeFill="accent3" w:themeFillTint="7F"/>
      </w:tcPr>
    </w:tblStylePr>
    <w:tblStylePr w:type="band1Horz">
      <w:tblPr/>
      <w:tcPr>
        <w:shd w:val="clear" w:color="auto" w:fill="9DC98C" w:themeFill="accent3" w:themeFillTint="7F"/>
      </w:tcPr>
    </w:tblStylePr>
  </w:style>
  <w:style w:type="table" w:styleId="MediumGrid1-Accent4">
    <w:name w:val="Medium Grid 1 Accent 4"/>
    <w:basedOn w:val="TableNormal"/>
    <w:uiPriority w:val="67"/>
    <w:rsid w:val="008552F5"/>
    <w:pPr>
      <w:spacing w:after="0" w:line="240" w:lineRule="auto"/>
    </w:pPr>
    <w:tblPr>
      <w:tblStyleRowBandSize w:val="1"/>
      <w:tblStyleColBandSize w:val="1"/>
      <w:tblBorders>
        <w:top w:val="single" w:sz="8" w:space="0" w:color="C7BE59" w:themeColor="accent4" w:themeTint="BF"/>
        <w:left w:val="single" w:sz="8" w:space="0" w:color="C7BE59" w:themeColor="accent4" w:themeTint="BF"/>
        <w:bottom w:val="single" w:sz="8" w:space="0" w:color="C7BE59" w:themeColor="accent4" w:themeTint="BF"/>
        <w:right w:val="single" w:sz="8" w:space="0" w:color="C7BE59" w:themeColor="accent4" w:themeTint="BF"/>
        <w:insideH w:val="single" w:sz="8" w:space="0" w:color="C7BE59" w:themeColor="accent4" w:themeTint="BF"/>
        <w:insideV w:val="single" w:sz="8" w:space="0" w:color="C7BE59" w:themeColor="accent4" w:themeTint="BF"/>
      </w:tblBorders>
    </w:tblPr>
    <w:tcPr>
      <w:shd w:val="clear" w:color="auto" w:fill="ECE9C8" w:themeFill="accent4" w:themeFillTint="3F"/>
    </w:tcPr>
    <w:tblStylePr w:type="firstRow">
      <w:rPr>
        <w:b/>
        <w:bCs/>
      </w:rPr>
    </w:tblStylePr>
    <w:tblStylePr w:type="lastRow">
      <w:rPr>
        <w:b/>
        <w:bCs/>
      </w:rPr>
      <w:tblPr/>
      <w:tcPr>
        <w:tcBorders>
          <w:top w:val="single" w:sz="18" w:space="0" w:color="C7BE59" w:themeColor="accent4" w:themeTint="BF"/>
        </w:tcBorders>
      </w:tcPr>
    </w:tblStylePr>
    <w:tblStylePr w:type="firstCol">
      <w:rPr>
        <w:b/>
        <w:bCs/>
      </w:rPr>
    </w:tblStylePr>
    <w:tblStylePr w:type="lastCol">
      <w:rPr>
        <w:b/>
        <w:bCs/>
      </w:rPr>
    </w:tblStylePr>
    <w:tblStylePr w:type="band1Vert">
      <w:tblPr/>
      <w:tcPr>
        <w:shd w:val="clear" w:color="auto" w:fill="DAD390" w:themeFill="accent4" w:themeFillTint="7F"/>
      </w:tcPr>
    </w:tblStylePr>
    <w:tblStylePr w:type="band1Horz">
      <w:tblPr/>
      <w:tcPr>
        <w:shd w:val="clear" w:color="auto" w:fill="DAD390" w:themeFill="accent4" w:themeFillTint="7F"/>
      </w:tcPr>
    </w:tblStylePr>
  </w:style>
  <w:style w:type="table" w:styleId="MediumGrid1-Accent5">
    <w:name w:val="Medium Grid 1 Accent 5"/>
    <w:basedOn w:val="TableNormal"/>
    <w:uiPriority w:val="67"/>
    <w:rsid w:val="008552F5"/>
    <w:pPr>
      <w:spacing w:after="0" w:line="240" w:lineRule="auto"/>
    </w:pPr>
    <w:tblPr>
      <w:tblStyleRowBandSize w:val="1"/>
      <w:tblStyleColBandSize w:val="1"/>
      <w:tblBorders>
        <w:top w:val="single" w:sz="8" w:space="0" w:color="AE526D" w:themeColor="accent5" w:themeTint="BF"/>
        <w:left w:val="single" w:sz="8" w:space="0" w:color="AE526D" w:themeColor="accent5" w:themeTint="BF"/>
        <w:bottom w:val="single" w:sz="8" w:space="0" w:color="AE526D" w:themeColor="accent5" w:themeTint="BF"/>
        <w:right w:val="single" w:sz="8" w:space="0" w:color="AE526D" w:themeColor="accent5" w:themeTint="BF"/>
        <w:insideH w:val="single" w:sz="8" w:space="0" w:color="AE526D" w:themeColor="accent5" w:themeTint="BF"/>
        <w:insideV w:val="single" w:sz="8" w:space="0" w:color="AE526D" w:themeColor="accent5" w:themeTint="BF"/>
      </w:tblBorders>
    </w:tblPr>
    <w:tcPr>
      <w:shd w:val="clear" w:color="auto" w:fill="E4C6CE" w:themeFill="accent5" w:themeFillTint="3F"/>
    </w:tcPr>
    <w:tblStylePr w:type="firstRow">
      <w:rPr>
        <w:b/>
        <w:bCs/>
      </w:rPr>
    </w:tblStylePr>
    <w:tblStylePr w:type="lastRow">
      <w:rPr>
        <w:b/>
        <w:bCs/>
      </w:rPr>
      <w:tblPr/>
      <w:tcPr>
        <w:tcBorders>
          <w:top w:val="single" w:sz="18" w:space="0" w:color="AE526D" w:themeColor="accent5" w:themeTint="BF"/>
        </w:tcBorders>
      </w:tcPr>
    </w:tblStylePr>
    <w:tblStylePr w:type="firstCol">
      <w:rPr>
        <w:b/>
        <w:bCs/>
      </w:rPr>
    </w:tblStylePr>
    <w:tblStylePr w:type="lastCol">
      <w:rPr>
        <w:b/>
        <w:bCs/>
      </w:rPr>
    </w:tblStylePr>
    <w:tblStylePr w:type="band1Vert">
      <w:tblPr/>
      <w:tcPr>
        <w:shd w:val="clear" w:color="auto" w:fill="C98C9D" w:themeFill="accent5" w:themeFillTint="7F"/>
      </w:tcPr>
    </w:tblStylePr>
    <w:tblStylePr w:type="band1Horz">
      <w:tblPr/>
      <w:tcPr>
        <w:shd w:val="clear" w:color="auto" w:fill="C98C9D" w:themeFill="accent5" w:themeFillTint="7F"/>
      </w:tcPr>
    </w:tblStylePr>
  </w:style>
  <w:style w:type="table" w:styleId="MediumGrid1-Accent6">
    <w:name w:val="Medium Grid 1 Accent 6"/>
    <w:basedOn w:val="TableNormal"/>
    <w:uiPriority w:val="67"/>
    <w:rsid w:val="008552F5"/>
    <w:pPr>
      <w:spacing w:after="0" w:line="240" w:lineRule="auto"/>
    </w:pPr>
    <w:tblPr>
      <w:tblStyleRowBandSize w:val="1"/>
      <w:tblStyleColBandSize w:val="1"/>
      <w:tblBorders>
        <w:top w:val="single" w:sz="8" w:space="0" w:color="F4C253" w:themeColor="accent6" w:themeTint="BF"/>
        <w:left w:val="single" w:sz="8" w:space="0" w:color="F4C253" w:themeColor="accent6" w:themeTint="BF"/>
        <w:bottom w:val="single" w:sz="8" w:space="0" w:color="F4C253" w:themeColor="accent6" w:themeTint="BF"/>
        <w:right w:val="single" w:sz="8" w:space="0" w:color="F4C253" w:themeColor="accent6" w:themeTint="BF"/>
        <w:insideH w:val="single" w:sz="8" w:space="0" w:color="F4C253" w:themeColor="accent6" w:themeTint="BF"/>
        <w:insideV w:val="single" w:sz="8" w:space="0" w:color="F4C253" w:themeColor="accent6" w:themeTint="BF"/>
      </w:tblBorders>
    </w:tblPr>
    <w:tcPr>
      <w:shd w:val="clear" w:color="auto" w:fill="FBEBC6" w:themeFill="accent6" w:themeFillTint="3F"/>
    </w:tcPr>
    <w:tblStylePr w:type="firstRow">
      <w:rPr>
        <w:b/>
        <w:bCs/>
      </w:rPr>
    </w:tblStylePr>
    <w:tblStylePr w:type="lastRow">
      <w:rPr>
        <w:b/>
        <w:bCs/>
      </w:rPr>
      <w:tblPr/>
      <w:tcPr>
        <w:tcBorders>
          <w:top w:val="single" w:sz="18" w:space="0" w:color="F4C253" w:themeColor="accent6" w:themeTint="BF"/>
        </w:tcBorders>
      </w:tcPr>
    </w:tblStylePr>
    <w:tblStylePr w:type="firstCol">
      <w:rPr>
        <w:b/>
        <w:bCs/>
      </w:rPr>
    </w:tblStylePr>
    <w:tblStylePr w:type="lastCol">
      <w:rPr>
        <w:b/>
        <w:bCs/>
      </w:rPr>
    </w:tblStylePr>
    <w:tblStylePr w:type="band1Vert">
      <w:tblPr/>
      <w:tcPr>
        <w:shd w:val="clear" w:color="auto" w:fill="F8D68C" w:themeFill="accent6" w:themeFillTint="7F"/>
      </w:tcPr>
    </w:tblStylePr>
    <w:tblStylePr w:type="band1Horz">
      <w:tblPr/>
      <w:tcPr>
        <w:shd w:val="clear" w:color="auto" w:fill="F8D68C" w:themeFill="accent6" w:themeFillTint="7F"/>
      </w:tcPr>
    </w:tblStylePr>
  </w:style>
  <w:style w:type="table" w:styleId="MediumGrid2">
    <w:name w:val="Medium Grid 2"/>
    <w:basedOn w:val="TableNormal"/>
    <w:uiPriority w:val="68"/>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9B9795" w:themeColor="text1"/>
        <w:left w:val="single" w:sz="8" w:space="0" w:color="9B9795" w:themeColor="text1"/>
        <w:bottom w:val="single" w:sz="8" w:space="0" w:color="9B9795" w:themeColor="text1"/>
        <w:right w:val="single" w:sz="8" w:space="0" w:color="9B9795" w:themeColor="text1"/>
        <w:insideH w:val="single" w:sz="8" w:space="0" w:color="9B9795" w:themeColor="text1"/>
        <w:insideV w:val="single" w:sz="8" w:space="0" w:color="9B9795" w:themeColor="text1"/>
      </w:tblBorders>
    </w:tblPr>
    <w:tcPr>
      <w:shd w:val="clear" w:color="auto" w:fill="E6E5E4" w:themeFill="text1" w:themeFillTint="3F"/>
    </w:tcPr>
    <w:tblStylePr w:type="firstRow">
      <w:rPr>
        <w:b/>
        <w:bCs/>
        <w:color w:val="9B9795" w:themeColor="text1"/>
      </w:rPr>
      <w:tblPr/>
      <w:tcPr>
        <w:shd w:val="clear" w:color="auto" w:fill="F5F4F4" w:themeFill="text1" w:themeFillTint="19"/>
      </w:tcPr>
    </w:tblStylePr>
    <w:tblStylePr w:type="lastRow">
      <w:rPr>
        <w:b/>
        <w:bCs/>
        <w:color w:val="9B9795" w:themeColor="text1"/>
      </w:rPr>
      <w:tblPr/>
      <w:tcPr>
        <w:tcBorders>
          <w:top w:val="single" w:sz="12" w:space="0" w:color="9B9795" w:themeColor="text1"/>
          <w:left w:val="nil"/>
          <w:bottom w:val="nil"/>
          <w:right w:val="nil"/>
          <w:insideH w:val="nil"/>
          <w:insideV w:val="nil"/>
        </w:tcBorders>
        <w:shd w:val="clear" w:color="auto" w:fill="FFFFFF" w:themeFill="background1"/>
      </w:tcPr>
    </w:tblStylePr>
    <w:tblStylePr w:type="firstCol">
      <w:rPr>
        <w:b/>
        <w:bCs/>
        <w:color w:val="9B979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9B9795" w:themeColor="text1"/>
      </w:rPr>
      <w:tblPr/>
      <w:tcPr>
        <w:tcBorders>
          <w:top w:val="nil"/>
          <w:left w:val="nil"/>
          <w:bottom w:val="nil"/>
          <w:right w:val="nil"/>
          <w:insideH w:val="nil"/>
          <w:insideV w:val="nil"/>
        </w:tcBorders>
        <w:shd w:val="clear" w:color="auto" w:fill="EBEAE9" w:themeFill="text1" w:themeFillTint="33"/>
      </w:tcPr>
    </w:tblStylePr>
    <w:tblStylePr w:type="band1Vert">
      <w:tblPr/>
      <w:tcPr>
        <w:shd w:val="clear" w:color="auto" w:fill="CDCBCA" w:themeFill="text1" w:themeFillTint="7F"/>
      </w:tcPr>
    </w:tblStylePr>
    <w:tblStylePr w:type="band1Horz">
      <w:tblPr/>
      <w:tcPr>
        <w:tcBorders>
          <w:insideH w:val="single" w:sz="6" w:space="0" w:color="9B9795" w:themeColor="text1"/>
          <w:insideV w:val="single" w:sz="6" w:space="0" w:color="9B9795" w:themeColor="text1"/>
        </w:tcBorders>
        <w:shd w:val="clear" w:color="auto" w:fill="CDCBCA"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9B9795" w:themeColor="accent1"/>
        <w:left w:val="single" w:sz="8" w:space="0" w:color="9B9795" w:themeColor="accent1"/>
        <w:bottom w:val="single" w:sz="8" w:space="0" w:color="9B9795" w:themeColor="accent1"/>
        <w:right w:val="single" w:sz="8" w:space="0" w:color="9B9795" w:themeColor="accent1"/>
        <w:insideH w:val="single" w:sz="8" w:space="0" w:color="9B9795" w:themeColor="accent1"/>
        <w:insideV w:val="single" w:sz="8" w:space="0" w:color="9B9795" w:themeColor="accent1"/>
      </w:tblBorders>
    </w:tblPr>
    <w:tcPr>
      <w:shd w:val="clear" w:color="auto" w:fill="E6E5E4" w:themeFill="accent1" w:themeFillTint="3F"/>
    </w:tcPr>
    <w:tblStylePr w:type="firstRow">
      <w:rPr>
        <w:b/>
        <w:bCs/>
        <w:color w:val="9B9795" w:themeColor="text1"/>
      </w:rPr>
      <w:tblPr/>
      <w:tcPr>
        <w:shd w:val="clear" w:color="auto" w:fill="F5F4F4" w:themeFill="accent1" w:themeFillTint="19"/>
      </w:tcPr>
    </w:tblStylePr>
    <w:tblStylePr w:type="lastRow">
      <w:rPr>
        <w:b/>
        <w:bCs/>
        <w:color w:val="9B9795" w:themeColor="text1"/>
      </w:rPr>
      <w:tblPr/>
      <w:tcPr>
        <w:tcBorders>
          <w:top w:val="single" w:sz="12" w:space="0" w:color="9B9795" w:themeColor="text1"/>
          <w:left w:val="nil"/>
          <w:bottom w:val="nil"/>
          <w:right w:val="nil"/>
          <w:insideH w:val="nil"/>
          <w:insideV w:val="nil"/>
        </w:tcBorders>
        <w:shd w:val="clear" w:color="auto" w:fill="FFFFFF" w:themeFill="background1"/>
      </w:tcPr>
    </w:tblStylePr>
    <w:tblStylePr w:type="firstCol">
      <w:rPr>
        <w:b/>
        <w:bCs/>
        <w:color w:val="9B979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9B9795" w:themeColor="text1"/>
      </w:rPr>
      <w:tblPr/>
      <w:tcPr>
        <w:tcBorders>
          <w:top w:val="nil"/>
          <w:left w:val="nil"/>
          <w:bottom w:val="nil"/>
          <w:right w:val="nil"/>
          <w:insideH w:val="nil"/>
          <w:insideV w:val="nil"/>
        </w:tcBorders>
        <w:shd w:val="clear" w:color="auto" w:fill="EBEAE9" w:themeFill="accent1" w:themeFillTint="33"/>
      </w:tcPr>
    </w:tblStylePr>
    <w:tblStylePr w:type="band1Vert">
      <w:tblPr/>
      <w:tcPr>
        <w:shd w:val="clear" w:color="auto" w:fill="CDCBCA" w:themeFill="accent1" w:themeFillTint="7F"/>
      </w:tcPr>
    </w:tblStylePr>
    <w:tblStylePr w:type="band1Horz">
      <w:tblPr/>
      <w:tcPr>
        <w:tcBorders>
          <w:insideH w:val="single" w:sz="6" w:space="0" w:color="9B9795" w:themeColor="accent1"/>
          <w:insideV w:val="single" w:sz="6" w:space="0" w:color="9B9795" w:themeColor="accent1"/>
        </w:tcBorders>
        <w:shd w:val="clear" w:color="auto" w:fill="CDCBC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CE7628" w:themeColor="accent2"/>
        <w:left w:val="single" w:sz="8" w:space="0" w:color="CE7628" w:themeColor="accent2"/>
        <w:bottom w:val="single" w:sz="8" w:space="0" w:color="CE7628" w:themeColor="accent2"/>
        <w:right w:val="single" w:sz="8" w:space="0" w:color="CE7628" w:themeColor="accent2"/>
        <w:insideH w:val="single" w:sz="8" w:space="0" w:color="CE7628" w:themeColor="accent2"/>
        <w:insideV w:val="single" w:sz="8" w:space="0" w:color="CE7628" w:themeColor="accent2"/>
      </w:tblBorders>
    </w:tblPr>
    <w:tcPr>
      <w:shd w:val="clear" w:color="auto" w:fill="F4DCC8" w:themeFill="accent2" w:themeFillTint="3F"/>
    </w:tcPr>
    <w:tblStylePr w:type="firstRow">
      <w:rPr>
        <w:b/>
        <w:bCs/>
        <w:color w:val="9B9795" w:themeColor="text1"/>
      </w:rPr>
      <w:tblPr/>
      <w:tcPr>
        <w:shd w:val="clear" w:color="auto" w:fill="FAF1E9" w:themeFill="accent2" w:themeFillTint="19"/>
      </w:tcPr>
    </w:tblStylePr>
    <w:tblStylePr w:type="lastRow">
      <w:rPr>
        <w:b/>
        <w:bCs/>
        <w:color w:val="9B9795" w:themeColor="text1"/>
      </w:rPr>
      <w:tblPr/>
      <w:tcPr>
        <w:tcBorders>
          <w:top w:val="single" w:sz="12" w:space="0" w:color="9B9795" w:themeColor="text1"/>
          <w:left w:val="nil"/>
          <w:bottom w:val="nil"/>
          <w:right w:val="nil"/>
          <w:insideH w:val="nil"/>
          <w:insideV w:val="nil"/>
        </w:tcBorders>
        <w:shd w:val="clear" w:color="auto" w:fill="FFFFFF" w:themeFill="background1"/>
      </w:tcPr>
    </w:tblStylePr>
    <w:tblStylePr w:type="firstCol">
      <w:rPr>
        <w:b/>
        <w:bCs/>
        <w:color w:val="9B979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9B9795" w:themeColor="text1"/>
      </w:rPr>
      <w:tblPr/>
      <w:tcPr>
        <w:tcBorders>
          <w:top w:val="nil"/>
          <w:left w:val="nil"/>
          <w:bottom w:val="nil"/>
          <w:right w:val="nil"/>
          <w:insideH w:val="nil"/>
          <w:insideV w:val="nil"/>
        </w:tcBorders>
        <w:shd w:val="clear" w:color="auto" w:fill="F6E3D2" w:themeFill="accent2" w:themeFillTint="33"/>
      </w:tcPr>
    </w:tblStylePr>
    <w:tblStylePr w:type="band1Vert">
      <w:tblPr/>
      <w:tcPr>
        <w:shd w:val="clear" w:color="auto" w:fill="E9BA90" w:themeFill="accent2" w:themeFillTint="7F"/>
      </w:tcPr>
    </w:tblStylePr>
    <w:tblStylePr w:type="band1Horz">
      <w:tblPr/>
      <w:tcPr>
        <w:tcBorders>
          <w:insideH w:val="single" w:sz="6" w:space="0" w:color="CE7628" w:themeColor="accent2"/>
          <w:insideV w:val="single" w:sz="6" w:space="0" w:color="CE7628" w:themeColor="accent2"/>
        </w:tcBorders>
        <w:shd w:val="clear" w:color="auto" w:fill="E9BA9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497537" w:themeColor="accent3"/>
        <w:left w:val="single" w:sz="8" w:space="0" w:color="497537" w:themeColor="accent3"/>
        <w:bottom w:val="single" w:sz="8" w:space="0" w:color="497537" w:themeColor="accent3"/>
        <w:right w:val="single" w:sz="8" w:space="0" w:color="497537" w:themeColor="accent3"/>
        <w:insideH w:val="single" w:sz="8" w:space="0" w:color="497537" w:themeColor="accent3"/>
        <w:insideV w:val="single" w:sz="8" w:space="0" w:color="497537" w:themeColor="accent3"/>
      </w:tblBorders>
    </w:tblPr>
    <w:tcPr>
      <w:shd w:val="clear" w:color="auto" w:fill="CEE4C6" w:themeFill="accent3" w:themeFillTint="3F"/>
    </w:tcPr>
    <w:tblStylePr w:type="firstRow">
      <w:rPr>
        <w:b/>
        <w:bCs/>
        <w:color w:val="9B9795" w:themeColor="text1"/>
      </w:rPr>
      <w:tblPr/>
      <w:tcPr>
        <w:shd w:val="clear" w:color="auto" w:fill="EBF4E8" w:themeFill="accent3" w:themeFillTint="19"/>
      </w:tcPr>
    </w:tblStylePr>
    <w:tblStylePr w:type="lastRow">
      <w:rPr>
        <w:b/>
        <w:bCs/>
        <w:color w:val="9B9795" w:themeColor="text1"/>
      </w:rPr>
      <w:tblPr/>
      <w:tcPr>
        <w:tcBorders>
          <w:top w:val="single" w:sz="12" w:space="0" w:color="9B9795" w:themeColor="text1"/>
          <w:left w:val="nil"/>
          <w:bottom w:val="nil"/>
          <w:right w:val="nil"/>
          <w:insideH w:val="nil"/>
          <w:insideV w:val="nil"/>
        </w:tcBorders>
        <w:shd w:val="clear" w:color="auto" w:fill="FFFFFF" w:themeFill="background1"/>
      </w:tcPr>
    </w:tblStylePr>
    <w:tblStylePr w:type="firstCol">
      <w:rPr>
        <w:b/>
        <w:bCs/>
        <w:color w:val="9B979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9B9795" w:themeColor="text1"/>
      </w:rPr>
      <w:tblPr/>
      <w:tcPr>
        <w:tcBorders>
          <w:top w:val="nil"/>
          <w:left w:val="nil"/>
          <w:bottom w:val="nil"/>
          <w:right w:val="nil"/>
          <w:insideH w:val="nil"/>
          <w:insideV w:val="nil"/>
        </w:tcBorders>
        <w:shd w:val="clear" w:color="auto" w:fill="D7E9D0" w:themeFill="accent3" w:themeFillTint="33"/>
      </w:tcPr>
    </w:tblStylePr>
    <w:tblStylePr w:type="band1Vert">
      <w:tblPr/>
      <w:tcPr>
        <w:shd w:val="clear" w:color="auto" w:fill="9DC98C" w:themeFill="accent3" w:themeFillTint="7F"/>
      </w:tcPr>
    </w:tblStylePr>
    <w:tblStylePr w:type="band1Horz">
      <w:tblPr/>
      <w:tcPr>
        <w:tcBorders>
          <w:insideH w:val="single" w:sz="6" w:space="0" w:color="497537" w:themeColor="accent3"/>
          <w:insideV w:val="single" w:sz="6" w:space="0" w:color="497537" w:themeColor="accent3"/>
        </w:tcBorders>
        <w:shd w:val="clear" w:color="auto" w:fill="9DC98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A19836" w:themeColor="accent4"/>
        <w:left w:val="single" w:sz="8" w:space="0" w:color="A19836" w:themeColor="accent4"/>
        <w:bottom w:val="single" w:sz="8" w:space="0" w:color="A19836" w:themeColor="accent4"/>
        <w:right w:val="single" w:sz="8" w:space="0" w:color="A19836" w:themeColor="accent4"/>
        <w:insideH w:val="single" w:sz="8" w:space="0" w:color="A19836" w:themeColor="accent4"/>
        <w:insideV w:val="single" w:sz="8" w:space="0" w:color="A19836" w:themeColor="accent4"/>
      </w:tblBorders>
    </w:tblPr>
    <w:tcPr>
      <w:shd w:val="clear" w:color="auto" w:fill="ECE9C8" w:themeFill="accent4" w:themeFillTint="3F"/>
    </w:tcPr>
    <w:tblStylePr w:type="firstRow">
      <w:rPr>
        <w:b/>
        <w:bCs/>
        <w:color w:val="9B9795" w:themeColor="text1"/>
      </w:rPr>
      <w:tblPr/>
      <w:tcPr>
        <w:shd w:val="clear" w:color="auto" w:fill="F7F6E9" w:themeFill="accent4" w:themeFillTint="19"/>
      </w:tcPr>
    </w:tblStylePr>
    <w:tblStylePr w:type="lastRow">
      <w:rPr>
        <w:b/>
        <w:bCs/>
        <w:color w:val="9B9795" w:themeColor="text1"/>
      </w:rPr>
      <w:tblPr/>
      <w:tcPr>
        <w:tcBorders>
          <w:top w:val="single" w:sz="12" w:space="0" w:color="9B9795" w:themeColor="text1"/>
          <w:left w:val="nil"/>
          <w:bottom w:val="nil"/>
          <w:right w:val="nil"/>
          <w:insideH w:val="nil"/>
          <w:insideV w:val="nil"/>
        </w:tcBorders>
        <w:shd w:val="clear" w:color="auto" w:fill="FFFFFF" w:themeFill="background1"/>
      </w:tcPr>
    </w:tblStylePr>
    <w:tblStylePr w:type="firstCol">
      <w:rPr>
        <w:b/>
        <w:bCs/>
        <w:color w:val="9B979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9B9795" w:themeColor="text1"/>
      </w:rPr>
      <w:tblPr/>
      <w:tcPr>
        <w:tcBorders>
          <w:top w:val="nil"/>
          <w:left w:val="nil"/>
          <w:bottom w:val="nil"/>
          <w:right w:val="nil"/>
          <w:insideH w:val="nil"/>
          <w:insideV w:val="nil"/>
        </w:tcBorders>
        <w:shd w:val="clear" w:color="auto" w:fill="F0EDD2" w:themeFill="accent4" w:themeFillTint="33"/>
      </w:tcPr>
    </w:tblStylePr>
    <w:tblStylePr w:type="band1Vert">
      <w:tblPr/>
      <w:tcPr>
        <w:shd w:val="clear" w:color="auto" w:fill="DAD390" w:themeFill="accent4" w:themeFillTint="7F"/>
      </w:tcPr>
    </w:tblStylePr>
    <w:tblStylePr w:type="band1Horz">
      <w:tblPr/>
      <w:tcPr>
        <w:tcBorders>
          <w:insideH w:val="single" w:sz="6" w:space="0" w:color="A19836" w:themeColor="accent4"/>
          <w:insideV w:val="single" w:sz="6" w:space="0" w:color="A19836" w:themeColor="accent4"/>
        </w:tcBorders>
        <w:shd w:val="clear" w:color="auto" w:fill="DAD39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753749" w:themeColor="accent5"/>
        <w:left w:val="single" w:sz="8" w:space="0" w:color="753749" w:themeColor="accent5"/>
        <w:bottom w:val="single" w:sz="8" w:space="0" w:color="753749" w:themeColor="accent5"/>
        <w:right w:val="single" w:sz="8" w:space="0" w:color="753749" w:themeColor="accent5"/>
        <w:insideH w:val="single" w:sz="8" w:space="0" w:color="753749" w:themeColor="accent5"/>
        <w:insideV w:val="single" w:sz="8" w:space="0" w:color="753749" w:themeColor="accent5"/>
      </w:tblBorders>
    </w:tblPr>
    <w:tcPr>
      <w:shd w:val="clear" w:color="auto" w:fill="E4C6CE" w:themeFill="accent5" w:themeFillTint="3F"/>
    </w:tcPr>
    <w:tblStylePr w:type="firstRow">
      <w:rPr>
        <w:b/>
        <w:bCs/>
        <w:color w:val="9B9795" w:themeColor="text1"/>
      </w:rPr>
      <w:tblPr/>
      <w:tcPr>
        <w:shd w:val="clear" w:color="auto" w:fill="F4E8EB" w:themeFill="accent5" w:themeFillTint="19"/>
      </w:tcPr>
    </w:tblStylePr>
    <w:tblStylePr w:type="lastRow">
      <w:rPr>
        <w:b/>
        <w:bCs/>
        <w:color w:val="9B9795" w:themeColor="text1"/>
      </w:rPr>
      <w:tblPr/>
      <w:tcPr>
        <w:tcBorders>
          <w:top w:val="single" w:sz="12" w:space="0" w:color="9B9795" w:themeColor="text1"/>
          <w:left w:val="nil"/>
          <w:bottom w:val="nil"/>
          <w:right w:val="nil"/>
          <w:insideH w:val="nil"/>
          <w:insideV w:val="nil"/>
        </w:tcBorders>
        <w:shd w:val="clear" w:color="auto" w:fill="FFFFFF" w:themeFill="background1"/>
      </w:tcPr>
    </w:tblStylePr>
    <w:tblStylePr w:type="firstCol">
      <w:rPr>
        <w:b/>
        <w:bCs/>
        <w:color w:val="9B979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9B9795" w:themeColor="text1"/>
      </w:rPr>
      <w:tblPr/>
      <w:tcPr>
        <w:tcBorders>
          <w:top w:val="nil"/>
          <w:left w:val="nil"/>
          <w:bottom w:val="nil"/>
          <w:right w:val="nil"/>
          <w:insideH w:val="nil"/>
          <w:insideV w:val="nil"/>
        </w:tcBorders>
        <w:shd w:val="clear" w:color="auto" w:fill="E9D0D7" w:themeFill="accent5" w:themeFillTint="33"/>
      </w:tcPr>
    </w:tblStylePr>
    <w:tblStylePr w:type="band1Vert">
      <w:tblPr/>
      <w:tcPr>
        <w:shd w:val="clear" w:color="auto" w:fill="C98C9D" w:themeFill="accent5" w:themeFillTint="7F"/>
      </w:tcPr>
    </w:tblStylePr>
    <w:tblStylePr w:type="band1Horz">
      <w:tblPr/>
      <w:tcPr>
        <w:tcBorders>
          <w:insideH w:val="single" w:sz="6" w:space="0" w:color="753749" w:themeColor="accent5"/>
          <w:insideV w:val="single" w:sz="6" w:space="0" w:color="753749" w:themeColor="accent5"/>
        </w:tcBorders>
        <w:shd w:val="clear" w:color="auto" w:fill="C98C9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F1AF1A" w:themeColor="accent6"/>
        <w:left w:val="single" w:sz="8" w:space="0" w:color="F1AF1A" w:themeColor="accent6"/>
        <w:bottom w:val="single" w:sz="8" w:space="0" w:color="F1AF1A" w:themeColor="accent6"/>
        <w:right w:val="single" w:sz="8" w:space="0" w:color="F1AF1A" w:themeColor="accent6"/>
        <w:insideH w:val="single" w:sz="8" w:space="0" w:color="F1AF1A" w:themeColor="accent6"/>
        <w:insideV w:val="single" w:sz="8" w:space="0" w:color="F1AF1A" w:themeColor="accent6"/>
      </w:tblBorders>
    </w:tblPr>
    <w:tcPr>
      <w:shd w:val="clear" w:color="auto" w:fill="FBEBC6" w:themeFill="accent6" w:themeFillTint="3F"/>
    </w:tcPr>
    <w:tblStylePr w:type="firstRow">
      <w:rPr>
        <w:b/>
        <w:bCs/>
        <w:color w:val="9B9795" w:themeColor="text1"/>
      </w:rPr>
      <w:tblPr/>
      <w:tcPr>
        <w:shd w:val="clear" w:color="auto" w:fill="FDF7E8" w:themeFill="accent6" w:themeFillTint="19"/>
      </w:tcPr>
    </w:tblStylePr>
    <w:tblStylePr w:type="lastRow">
      <w:rPr>
        <w:b/>
        <w:bCs/>
        <w:color w:val="9B9795" w:themeColor="text1"/>
      </w:rPr>
      <w:tblPr/>
      <w:tcPr>
        <w:tcBorders>
          <w:top w:val="single" w:sz="12" w:space="0" w:color="9B9795" w:themeColor="text1"/>
          <w:left w:val="nil"/>
          <w:bottom w:val="nil"/>
          <w:right w:val="nil"/>
          <w:insideH w:val="nil"/>
          <w:insideV w:val="nil"/>
        </w:tcBorders>
        <w:shd w:val="clear" w:color="auto" w:fill="FFFFFF" w:themeFill="background1"/>
      </w:tcPr>
    </w:tblStylePr>
    <w:tblStylePr w:type="firstCol">
      <w:rPr>
        <w:b/>
        <w:bCs/>
        <w:color w:val="9B979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9B9795" w:themeColor="text1"/>
      </w:rPr>
      <w:tblPr/>
      <w:tcPr>
        <w:tcBorders>
          <w:top w:val="nil"/>
          <w:left w:val="nil"/>
          <w:bottom w:val="nil"/>
          <w:right w:val="nil"/>
          <w:insideH w:val="nil"/>
          <w:insideV w:val="nil"/>
        </w:tcBorders>
        <w:shd w:val="clear" w:color="auto" w:fill="FCEED1" w:themeFill="accent6" w:themeFillTint="33"/>
      </w:tcPr>
    </w:tblStylePr>
    <w:tblStylePr w:type="band1Vert">
      <w:tblPr/>
      <w:tcPr>
        <w:shd w:val="clear" w:color="auto" w:fill="F8D68C" w:themeFill="accent6" w:themeFillTint="7F"/>
      </w:tcPr>
    </w:tblStylePr>
    <w:tblStylePr w:type="band1Horz">
      <w:tblPr/>
      <w:tcPr>
        <w:tcBorders>
          <w:insideH w:val="single" w:sz="6" w:space="0" w:color="F1AF1A" w:themeColor="accent6"/>
          <w:insideV w:val="single" w:sz="6" w:space="0" w:color="F1AF1A" w:themeColor="accent6"/>
        </w:tcBorders>
        <w:shd w:val="clear" w:color="auto" w:fill="F8D68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8552F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5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9795"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9795"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9795"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9795"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BCA"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BCA" w:themeFill="text1" w:themeFillTint="7F"/>
      </w:tcPr>
    </w:tblStylePr>
  </w:style>
  <w:style w:type="table" w:styleId="MediumGrid3-Accent1">
    <w:name w:val="Medium Grid 3 Accent 1"/>
    <w:basedOn w:val="TableNormal"/>
    <w:uiPriority w:val="69"/>
    <w:rsid w:val="008552F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5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979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979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979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979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BC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BCA" w:themeFill="accent1" w:themeFillTint="7F"/>
      </w:tcPr>
    </w:tblStylePr>
  </w:style>
  <w:style w:type="table" w:styleId="MediumGrid3-Accent2">
    <w:name w:val="Medium Grid 3 Accent 2"/>
    <w:basedOn w:val="TableNormal"/>
    <w:uiPriority w:val="69"/>
    <w:rsid w:val="008552F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C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762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762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762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762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BA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BA90" w:themeFill="accent2" w:themeFillTint="7F"/>
      </w:tcPr>
    </w:tblStylePr>
  </w:style>
  <w:style w:type="table" w:styleId="MediumGrid3-Accent3">
    <w:name w:val="Medium Grid 3 Accent 3"/>
    <w:basedOn w:val="TableNormal"/>
    <w:uiPriority w:val="69"/>
    <w:rsid w:val="008552F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E4C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753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753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753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753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C98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C98C" w:themeFill="accent3" w:themeFillTint="7F"/>
      </w:tcPr>
    </w:tblStylePr>
  </w:style>
  <w:style w:type="table" w:styleId="MediumGrid3-Accent4">
    <w:name w:val="Medium Grid 3 Accent 4"/>
    <w:basedOn w:val="TableNormal"/>
    <w:uiPriority w:val="69"/>
    <w:rsid w:val="008552F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9C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983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983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983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983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D39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D390" w:themeFill="accent4" w:themeFillTint="7F"/>
      </w:tcPr>
    </w:tblStylePr>
  </w:style>
  <w:style w:type="table" w:styleId="MediumGrid3-Accent5">
    <w:name w:val="Medium Grid 3 Accent 5"/>
    <w:basedOn w:val="TableNormal"/>
    <w:uiPriority w:val="69"/>
    <w:rsid w:val="008552F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C6C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374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374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374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374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8C9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8C9D" w:themeFill="accent5" w:themeFillTint="7F"/>
      </w:tcPr>
    </w:tblStylePr>
  </w:style>
  <w:style w:type="table" w:styleId="MediumGrid3-Accent6">
    <w:name w:val="Medium Grid 3 Accent 6"/>
    <w:basedOn w:val="TableNormal"/>
    <w:uiPriority w:val="69"/>
    <w:rsid w:val="008552F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B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AF1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AF1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AF1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AF1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6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68C" w:themeFill="accent6" w:themeFillTint="7F"/>
      </w:tcPr>
    </w:tblStylePr>
  </w:style>
  <w:style w:type="table" w:styleId="MediumList1">
    <w:name w:val="Medium List 1"/>
    <w:basedOn w:val="TableNormal"/>
    <w:uiPriority w:val="65"/>
    <w:rsid w:val="008552F5"/>
    <w:pPr>
      <w:spacing w:after="0" w:line="240" w:lineRule="auto"/>
    </w:pPr>
    <w:rPr>
      <w:color w:val="9B9795" w:themeColor="text1"/>
    </w:rPr>
    <w:tblPr>
      <w:tblStyleRowBandSize w:val="1"/>
      <w:tblStyleColBandSize w:val="1"/>
      <w:tblBorders>
        <w:top w:val="single" w:sz="8" w:space="0" w:color="9B9795" w:themeColor="text1"/>
        <w:bottom w:val="single" w:sz="8" w:space="0" w:color="9B9795" w:themeColor="text1"/>
      </w:tblBorders>
    </w:tblPr>
    <w:tblStylePr w:type="firstRow">
      <w:rPr>
        <w:rFonts w:asciiTheme="majorHAnsi" w:eastAsiaTheme="majorEastAsia" w:hAnsiTheme="majorHAnsi" w:cstheme="majorBidi"/>
      </w:rPr>
      <w:tblPr/>
      <w:tcPr>
        <w:tcBorders>
          <w:top w:val="nil"/>
          <w:bottom w:val="single" w:sz="8" w:space="0" w:color="9B9795" w:themeColor="text1"/>
        </w:tcBorders>
      </w:tcPr>
    </w:tblStylePr>
    <w:tblStylePr w:type="lastRow">
      <w:rPr>
        <w:b/>
        <w:bCs/>
        <w:color w:val="CE7628" w:themeColor="text2"/>
      </w:rPr>
      <w:tblPr/>
      <w:tcPr>
        <w:tcBorders>
          <w:top w:val="single" w:sz="8" w:space="0" w:color="9B9795" w:themeColor="text1"/>
          <w:bottom w:val="single" w:sz="8" w:space="0" w:color="9B9795" w:themeColor="text1"/>
        </w:tcBorders>
      </w:tcPr>
    </w:tblStylePr>
    <w:tblStylePr w:type="firstCol">
      <w:rPr>
        <w:b/>
        <w:bCs/>
      </w:rPr>
    </w:tblStylePr>
    <w:tblStylePr w:type="lastCol">
      <w:rPr>
        <w:b/>
        <w:bCs/>
      </w:rPr>
      <w:tblPr/>
      <w:tcPr>
        <w:tcBorders>
          <w:top w:val="single" w:sz="8" w:space="0" w:color="9B9795" w:themeColor="text1"/>
          <w:bottom w:val="single" w:sz="8" w:space="0" w:color="9B9795" w:themeColor="text1"/>
        </w:tcBorders>
      </w:tcPr>
    </w:tblStylePr>
    <w:tblStylePr w:type="band1Vert">
      <w:tblPr/>
      <w:tcPr>
        <w:shd w:val="clear" w:color="auto" w:fill="E6E5E4" w:themeFill="text1" w:themeFillTint="3F"/>
      </w:tcPr>
    </w:tblStylePr>
    <w:tblStylePr w:type="band1Horz">
      <w:tblPr/>
      <w:tcPr>
        <w:shd w:val="clear" w:color="auto" w:fill="E6E5E4" w:themeFill="text1" w:themeFillTint="3F"/>
      </w:tcPr>
    </w:tblStylePr>
  </w:style>
  <w:style w:type="table" w:styleId="MediumList1-Accent1">
    <w:name w:val="Medium List 1 Accent 1"/>
    <w:basedOn w:val="TableNormal"/>
    <w:uiPriority w:val="65"/>
    <w:rsid w:val="008552F5"/>
    <w:pPr>
      <w:spacing w:after="0" w:line="240" w:lineRule="auto"/>
    </w:pPr>
    <w:rPr>
      <w:color w:val="9B9795" w:themeColor="text1"/>
    </w:rPr>
    <w:tblPr>
      <w:tblStyleRowBandSize w:val="1"/>
      <w:tblStyleColBandSize w:val="1"/>
      <w:tblBorders>
        <w:top w:val="single" w:sz="8" w:space="0" w:color="9B9795" w:themeColor="accent1"/>
        <w:bottom w:val="single" w:sz="8" w:space="0" w:color="9B9795" w:themeColor="accent1"/>
      </w:tblBorders>
    </w:tblPr>
    <w:tblStylePr w:type="firstRow">
      <w:rPr>
        <w:rFonts w:asciiTheme="majorHAnsi" w:eastAsiaTheme="majorEastAsia" w:hAnsiTheme="majorHAnsi" w:cstheme="majorBidi"/>
      </w:rPr>
      <w:tblPr/>
      <w:tcPr>
        <w:tcBorders>
          <w:top w:val="nil"/>
          <w:bottom w:val="single" w:sz="8" w:space="0" w:color="9B9795" w:themeColor="accent1"/>
        </w:tcBorders>
      </w:tcPr>
    </w:tblStylePr>
    <w:tblStylePr w:type="lastRow">
      <w:rPr>
        <w:b/>
        <w:bCs/>
        <w:color w:val="CE7628" w:themeColor="text2"/>
      </w:rPr>
      <w:tblPr/>
      <w:tcPr>
        <w:tcBorders>
          <w:top w:val="single" w:sz="8" w:space="0" w:color="9B9795" w:themeColor="accent1"/>
          <w:bottom w:val="single" w:sz="8" w:space="0" w:color="9B9795" w:themeColor="accent1"/>
        </w:tcBorders>
      </w:tcPr>
    </w:tblStylePr>
    <w:tblStylePr w:type="firstCol">
      <w:rPr>
        <w:b/>
        <w:bCs/>
      </w:rPr>
    </w:tblStylePr>
    <w:tblStylePr w:type="lastCol">
      <w:rPr>
        <w:b/>
        <w:bCs/>
      </w:rPr>
      <w:tblPr/>
      <w:tcPr>
        <w:tcBorders>
          <w:top w:val="single" w:sz="8" w:space="0" w:color="9B9795" w:themeColor="accent1"/>
          <w:bottom w:val="single" w:sz="8" w:space="0" w:color="9B9795" w:themeColor="accent1"/>
        </w:tcBorders>
      </w:tcPr>
    </w:tblStylePr>
    <w:tblStylePr w:type="band1Vert">
      <w:tblPr/>
      <w:tcPr>
        <w:shd w:val="clear" w:color="auto" w:fill="E6E5E4" w:themeFill="accent1" w:themeFillTint="3F"/>
      </w:tcPr>
    </w:tblStylePr>
    <w:tblStylePr w:type="band1Horz">
      <w:tblPr/>
      <w:tcPr>
        <w:shd w:val="clear" w:color="auto" w:fill="E6E5E4" w:themeFill="accent1" w:themeFillTint="3F"/>
      </w:tcPr>
    </w:tblStylePr>
  </w:style>
  <w:style w:type="table" w:styleId="MediumList1-Accent2">
    <w:name w:val="Medium List 1 Accent 2"/>
    <w:basedOn w:val="TableNormal"/>
    <w:uiPriority w:val="65"/>
    <w:rsid w:val="008552F5"/>
    <w:pPr>
      <w:spacing w:after="0" w:line="240" w:lineRule="auto"/>
    </w:pPr>
    <w:rPr>
      <w:color w:val="9B9795" w:themeColor="text1"/>
    </w:rPr>
    <w:tblPr>
      <w:tblStyleRowBandSize w:val="1"/>
      <w:tblStyleColBandSize w:val="1"/>
      <w:tblBorders>
        <w:top w:val="single" w:sz="8" w:space="0" w:color="CE7628" w:themeColor="accent2"/>
        <w:bottom w:val="single" w:sz="8" w:space="0" w:color="CE7628" w:themeColor="accent2"/>
      </w:tblBorders>
    </w:tblPr>
    <w:tblStylePr w:type="firstRow">
      <w:rPr>
        <w:rFonts w:asciiTheme="majorHAnsi" w:eastAsiaTheme="majorEastAsia" w:hAnsiTheme="majorHAnsi" w:cstheme="majorBidi"/>
      </w:rPr>
      <w:tblPr/>
      <w:tcPr>
        <w:tcBorders>
          <w:top w:val="nil"/>
          <w:bottom w:val="single" w:sz="8" w:space="0" w:color="CE7628" w:themeColor="accent2"/>
        </w:tcBorders>
      </w:tcPr>
    </w:tblStylePr>
    <w:tblStylePr w:type="lastRow">
      <w:rPr>
        <w:b/>
        <w:bCs/>
        <w:color w:val="CE7628" w:themeColor="text2"/>
      </w:rPr>
      <w:tblPr/>
      <w:tcPr>
        <w:tcBorders>
          <w:top w:val="single" w:sz="8" w:space="0" w:color="CE7628" w:themeColor="accent2"/>
          <w:bottom w:val="single" w:sz="8" w:space="0" w:color="CE7628" w:themeColor="accent2"/>
        </w:tcBorders>
      </w:tcPr>
    </w:tblStylePr>
    <w:tblStylePr w:type="firstCol">
      <w:rPr>
        <w:b/>
        <w:bCs/>
      </w:rPr>
    </w:tblStylePr>
    <w:tblStylePr w:type="lastCol">
      <w:rPr>
        <w:b/>
        <w:bCs/>
      </w:rPr>
      <w:tblPr/>
      <w:tcPr>
        <w:tcBorders>
          <w:top w:val="single" w:sz="8" w:space="0" w:color="CE7628" w:themeColor="accent2"/>
          <w:bottom w:val="single" w:sz="8" w:space="0" w:color="CE7628" w:themeColor="accent2"/>
        </w:tcBorders>
      </w:tcPr>
    </w:tblStylePr>
    <w:tblStylePr w:type="band1Vert">
      <w:tblPr/>
      <w:tcPr>
        <w:shd w:val="clear" w:color="auto" w:fill="F4DCC8" w:themeFill="accent2" w:themeFillTint="3F"/>
      </w:tcPr>
    </w:tblStylePr>
    <w:tblStylePr w:type="band1Horz">
      <w:tblPr/>
      <w:tcPr>
        <w:shd w:val="clear" w:color="auto" w:fill="F4DCC8" w:themeFill="accent2" w:themeFillTint="3F"/>
      </w:tcPr>
    </w:tblStylePr>
  </w:style>
  <w:style w:type="table" w:styleId="MediumList1-Accent3">
    <w:name w:val="Medium List 1 Accent 3"/>
    <w:basedOn w:val="TableNormal"/>
    <w:uiPriority w:val="65"/>
    <w:rsid w:val="008552F5"/>
    <w:pPr>
      <w:spacing w:after="0" w:line="240" w:lineRule="auto"/>
    </w:pPr>
    <w:rPr>
      <w:color w:val="9B9795" w:themeColor="text1"/>
    </w:rPr>
    <w:tblPr>
      <w:tblStyleRowBandSize w:val="1"/>
      <w:tblStyleColBandSize w:val="1"/>
      <w:tblBorders>
        <w:top w:val="single" w:sz="8" w:space="0" w:color="497537" w:themeColor="accent3"/>
        <w:bottom w:val="single" w:sz="8" w:space="0" w:color="497537" w:themeColor="accent3"/>
      </w:tblBorders>
    </w:tblPr>
    <w:tblStylePr w:type="firstRow">
      <w:rPr>
        <w:rFonts w:asciiTheme="majorHAnsi" w:eastAsiaTheme="majorEastAsia" w:hAnsiTheme="majorHAnsi" w:cstheme="majorBidi"/>
      </w:rPr>
      <w:tblPr/>
      <w:tcPr>
        <w:tcBorders>
          <w:top w:val="nil"/>
          <w:bottom w:val="single" w:sz="8" w:space="0" w:color="497537" w:themeColor="accent3"/>
        </w:tcBorders>
      </w:tcPr>
    </w:tblStylePr>
    <w:tblStylePr w:type="lastRow">
      <w:rPr>
        <w:b/>
        <w:bCs/>
        <w:color w:val="CE7628" w:themeColor="text2"/>
      </w:rPr>
      <w:tblPr/>
      <w:tcPr>
        <w:tcBorders>
          <w:top w:val="single" w:sz="8" w:space="0" w:color="497537" w:themeColor="accent3"/>
          <w:bottom w:val="single" w:sz="8" w:space="0" w:color="497537" w:themeColor="accent3"/>
        </w:tcBorders>
      </w:tcPr>
    </w:tblStylePr>
    <w:tblStylePr w:type="firstCol">
      <w:rPr>
        <w:b/>
        <w:bCs/>
      </w:rPr>
    </w:tblStylePr>
    <w:tblStylePr w:type="lastCol">
      <w:rPr>
        <w:b/>
        <w:bCs/>
      </w:rPr>
      <w:tblPr/>
      <w:tcPr>
        <w:tcBorders>
          <w:top w:val="single" w:sz="8" w:space="0" w:color="497537" w:themeColor="accent3"/>
          <w:bottom w:val="single" w:sz="8" w:space="0" w:color="497537" w:themeColor="accent3"/>
        </w:tcBorders>
      </w:tcPr>
    </w:tblStylePr>
    <w:tblStylePr w:type="band1Vert">
      <w:tblPr/>
      <w:tcPr>
        <w:shd w:val="clear" w:color="auto" w:fill="CEE4C6" w:themeFill="accent3" w:themeFillTint="3F"/>
      </w:tcPr>
    </w:tblStylePr>
    <w:tblStylePr w:type="band1Horz">
      <w:tblPr/>
      <w:tcPr>
        <w:shd w:val="clear" w:color="auto" w:fill="CEE4C6" w:themeFill="accent3" w:themeFillTint="3F"/>
      </w:tcPr>
    </w:tblStylePr>
  </w:style>
  <w:style w:type="table" w:styleId="MediumList1-Accent4">
    <w:name w:val="Medium List 1 Accent 4"/>
    <w:basedOn w:val="TableNormal"/>
    <w:uiPriority w:val="65"/>
    <w:rsid w:val="008552F5"/>
    <w:pPr>
      <w:spacing w:after="0" w:line="240" w:lineRule="auto"/>
    </w:pPr>
    <w:rPr>
      <w:color w:val="9B9795" w:themeColor="text1"/>
    </w:rPr>
    <w:tblPr>
      <w:tblStyleRowBandSize w:val="1"/>
      <w:tblStyleColBandSize w:val="1"/>
      <w:tblBorders>
        <w:top w:val="single" w:sz="8" w:space="0" w:color="A19836" w:themeColor="accent4"/>
        <w:bottom w:val="single" w:sz="8" w:space="0" w:color="A19836" w:themeColor="accent4"/>
      </w:tblBorders>
    </w:tblPr>
    <w:tblStylePr w:type="firstRow">
      <w:rPr>
        <w:rFonts w:asciiTheme="majorHAnsi" w:eastAsiaTheme="majorEastAsia" w:hAnsiTheme="majorHAnsi" w:cstheme="majorBidi"/>
      </w:rPr>
      <w:tblPr/>
      <w:tcPr>
        <w:tcBorders>
          <w:top w:val="nil"/>
          <w:bottom w:val="single" w:sz="8" w:space="0" w:color="A19836" w:themeColor="accent4"/>
        </w:tcBorders>
      </w:tcPr>
    </w:tblStylePr>
    <w:tblStylePr w:type="lastRow">
      <w:rPr>
        <w:b/>
        <w:bCs/>
        <w:color w:val="CE7628" w:themeColor="text2"/>
      </w:rPr>
      <w:tblPr/>
      <w:tcPr>
        <w:tcBorders>
          <w:top w:val="single" w:sz="8" w:space="0" w:color="A19836" w:themeColor="accent4"/>
          <w:bottom w:val="single" w:sz="8" w:space="0" w:color="A19836" w:themeColor="accent4"/>
        </w:tcBorders>
      </w:tcPr>
    </w:tblStylePr>
    <w:tblStylePr w:type="firstCol">
      <w:rPr>
        <w:b/>
        <w:bCs/>
      </w:rPr>
    </w:tblStylePr>
    <w:tblStylePr w:type="lastCol">
      <w:rPr>
        <w:b/>
        <w:bCs/>
      </w:rPr>
      <w:tblPr/>
      <w:tcPr>
        <w:tcBorders>
          <w:top w:val="single" w:sz="8" w:space="0" w:color="A19836" w:themeColor="accent4"/>
          <w:bottom w:val="single" w:sz="8" w:space="0" w:color="A19836" w:themeColor="accent4"/>
        </w:tcBorders>
      </w:tcPr>
    </w:tblStylePr>
    <w:tblStylePr w:type="band1Vert">
      <w:tblPr/>
      <w:tcPr>
        <w:shd w:val="clear" w:color="auto" w:fill="ECE9C8" w:themeFill="accent4" w:themeFillTint="3F"/>
      </w:tcPr>
    </w:tblStylePr>
    <w:tblStylePr w:type="band1Horz">
      <w:tblPr/>
      <w:tcPr>
        <w:shd w:val="clear" w:color="auto" w:fill="ECE9C8" w:themeFill="accent4" w:themeFillTint="3F"/>
      </w:tcPr>
    </w:tblStylePr>
  </w:style>
  <w:style w:type="table" w:styleId="MediumList1-Accent5">
    <w:name w:val="Medium List 1 Accent 5"/>
    <w:basedOn w:val="TableNormal"/>
    <w:uiPriority w:val="65"/>
    <w:rsid w:val="008552F5"/>
    <w:pPr>
      <w:spacing w:after="0" w:line="240" w:lineRule="auto"/>
    </w:pPr>
    <w:rPr>
      <w:color w:val="9B9795" w:themeColor="text1"/>
    </w:rPr>
    <w:tblPr>
      <w:tblStyleRowBandSize w:val="1"/>
      <w:tblStyleColBandSize w:val="1"/>
      <w:tblBorders>
        <w:top w:val="single" w:sz="8" w:space="0" w:color="753749" w:themeColor="accent5"/>
        <w:bottom w:val="single" w:sz="8" w:space="0" w:color="753749" w:themeColor="accent5"/>
      </w:tblBorders>
    </w:tblPr>
    <w:tblStylePr w:type="firstRow">
      <w:rPr>
        <w:rFonts w:asciiTheme="majorHAnsi" w:eastAsiaTheme="majorEastAsia" w:hAnsiTheme="majorHAnsi" w:cstheme="majorBidi"/>
      </w:rPr>
      <w:tblPr/>
      <w:tcPr>
        <w:tcBorders>
          <w:top w:val="nil"/>
          <w:bottom w:val="single" w:sz="8" w:space="0" w:color="753749" w:themeColor="accent5"/>
        </w:tcBorders>
      </w:tcPr>
    </w:tblStylePr>
    <w:tblStylePr w:type="lastRow">
      <w:rPr>
        <w:b/>
        <w:bCs/>
        <w:color w:val="CE7628" w:themeColor="text2"/>
      </w:rPr>
      <w:tblPr/>
      <w:tcPr>
        <w:tcBorders>
          <w:top w:val="single" w:sz="8" w:space="0" w:color="753749" w:themeColor="accent5"/>
          <w:bottom w:val="single" w:sz="8" w:space="0" w:color="753749" w:themeColor="accent5"/>
        </w:tcBorders>
      </w:tcPr>
    </w:tblStylePr>
    <w:tblStylePr w:type="firstCol">
      <w:rPr>
        <w:b/>
        <w:bCs/>
      </w:rPr>
    </w:tblStylePr>
    <w:tblStylePr w:type="lastCol">
      <w:rPr>
        <w:b/>
        <w:bCs/>
      </w:rPr>
      <w:tblPr/>
      <w:tcPr>
        <w:tcBorders>
          <w:top w:val="single" w:sz="8" w:space="0" w:color="753749" w:themeColor="accent5"/>
          <w:bottom w:val="single" w:sz="8" w:space="0" w:color="753749" w:themeColor="accent5"/>
        </w:tcBorders>
      </w:tcPr>
    </w:tblStylePr>
    <w:tblStylePr w:type="band1Vert">
      <w:tblPr/>
      <w:tcPr>
        <w:shd w:val="clear" w:color="auto" w:fill="E4C6CE" w:themeFill="accent5" w:themeFillTint="3F"/>
      </w:tcPr>
    </w:tblStylePr>
    <w:tblStylePr w:type="band1Horz">
      <w:tblPr/>
      <w:tcPr>
        <w:shd w:val="clear" w:color="auto" w:fill="E4C6CE" w:themeFill="accent5" w:themeFillTint="3F"/>
      </w:tcPr>
    </w:tblStylePr>
  </w:style>
  <w:style w:type="table" w:styleId="MediumList1-Accent6">
    <w:name w:val="Medium List 1 Accent 6"/>
    <w:basedOn w:val="TableNormal"/>
    <w:uiPriority w:val="65"/>
    <w:rsid w:val="008552F5"/>
    <w:pPr>
      <w:spacing w:after="0" w:line="240" w:lineRule="auto"/>
    </w:pPr>
    <w:rPr>
      <w:color w:val="9B9795" w:themeColor="text1"/>
    </w:rPr>
    <w:tblPr>
      <w:tblStyleRowBandSize w:val="1"/>
      <w:tblStyleColBandSize w:val="1"/>
      <w:tblBorders>
        <w:top w:val="single" w:sz="8" w:space="0" w:color="F1AF1A" w:themeColor="accent6"/>
        <w:bottom w:val="single" w:sz="8" w:space="0" w:color="F1AF1A" w:themeColor="accent6"/>
      </w:tblBorders>
    </w:tblPr>
    <w:tblStylePr w:type="firstRow">
      <w:rPr>
        <w:rFonts w:asciiTheme="majorHAnsi" w:eastAsiaTheme="majorEastAsia" w:hAnsiTheme="majorHAnsi" w:cstheme="majorBidi"/>
      </w:rPr>
      <w:tblPr/>
      <w:tcPr>
        <w:tcBorders>
          <w:top w:val="nil"/>
          <w:bottom w:val="single" w:sz="8" w:space="0" w:color="F1AF1A" w:themeColor="accent6"/>
        </w:tcBorders>
      </w:tcPr>
    </w:tblStylePr>
    <w:tblStylePr w:type="lastRow">
      <w:rPr>
        <w:b/>
        <w:bCs/>
        <w:color w:val="CE7628" w:themeColor="text2"/>
      </w:rPr>
      <w:tblPr/>
      <w:tcPr>
        <w:tcBorders>
          <w:top w:val="single" w:sz="8" w:space="0" w:color="F1AF1A" w:themeColor="accent6"/>
          <w:bottom w:val="single" w:sz="8" w:space="0" w:color="F1AF1A" w:themeColor="accent6"/>
        </w:tcBorders>
      </w:tcPr>
    </w:tblStylePr>
    <w:tblStylePr w:type="firstCol">
      <w:rPr>
        <w:b/>
        <w:bCs/>
      </w:rPr>
    </w:tblStylePr>
    <w:tblStylePr w:type="lastCol">
      <w:rPr>
        <w:b/>
        <w:bCs/>
      </w:rPr>
      <w:tblPr/>
      <w:tcPr>
        <w:tcBorders>
          <w:top w:val="single" w:sz="8" w:space="0" w:color="F1AF1A" w:themeColor="accent6"/>
          <w:bottom w:val="single" w:sz="8" w:space="0" w:color="F1AF1A" w:themeColor="accent6"/>
        </w:tcBorders>
      </w:tcPr>
    </w:tblStylePr>
    <w:tblStylePr w:type="band1Vert">
      <w:tblPr/>
      <w:tcPr>
        <w:shd w:val="clear" w:color="auto" w:fill="FBEBC6" w:themeFill="accent6" w:themeFillTint="3F"/>
      </w:tcPr>
    </w:tblStylePr>
    <w:tblStylePr w:type="band1Horz">
      <w:tblPr/>
      <w:tcPr>
        <w:shd w:val="clear" w:color="auto" w:fill="FBEBC6" w:themeFill="accent6" w:themeFillTint="3F"/>
      </w:tcPr>
    </w:tblStylePr>
  </w:style>
  <w:style w:type="table" w:styleId="MediumList2">
    <w:name w:val="Medium List 2"/>
    <w:basedOn w:val="TableNormal"/>
    <w:uiPriority w:val="66"/>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9B9795" w:themeColor="text1"/>
        <w:left w:val="single" w:sz="8" w:space="0" w:color="9B9795" w:themeColor="text1"/>
        <w:bottom w:val="single" w:sz="8" w:space="0" w:color="9B9795" w:themeColor="text1"/>
        <w:right w:val="single" w:sz="8" w:space="0" w:color="9B9795" w:themeColor="text1"/>
      </w:tblBorders>
    </w:tblPr>
    <w:tblStylePr w:type="firstRow">
      <w:rPr>
        <w:sz w:val="24"/>
        <w:szCs w:val="24"/>
      </w:rPr>
      <w:tblPr/>
      <w:tcPr>
        <w:tcBorders>
          <w:top w:val="nil"/>
          <w:left w:val="nil"/>
          <w:bottom w:val="single" w:sz="24" w:space="0" w:color="9B9795" w:themeColor="text1"/>
          <w:right w:val="nil"/>
          <w:insideH w:val="nil"/>
          <w:insideV w:val="nil"/>
        </w:tcBorders>
        <w:shd w:val="clear" w:color="auto" w:fill="FFFFFF" w:themeFill="background1"/>
      </w:tcPr>
    </w:tblStylePr>
    <w:tblStylePr w:type="lastRow">
      <w:tblPr/>
      <w:tcPr>
        <w:tcBorders>
          <w:top w:val="single" w:sz="8" w:space="0" w:color="9B9795"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9795" w:themeColor="text1"/>
          <w:insideH w:val="nil"/>
          <w:insideV w:val="nil"/>
        </w:tcBorders>
        <w:shd w:val="clear" w:color="auto" w:fill="FFFFFF" w:themeFill="background1"/>
      </w:tcPr>
    </w:tblStylePr>
    <w:tblStylePr w:type="lastCol">
      <w:tblPr/>
      <w:tcPr>
        <w:tcBorders>
          <w:top w:val="nil"/>
          <w:left w:val="single" w:sz="8" w:space="0" w:color="9B9795"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5E4" w:themeFill="text1" w:themeFillTint="3F"/>
      </w:tcPr>
    </w:tblStylePr>
    <w:tblStylePr w:type="band1Horz">
      <w:tblPr/>
      <w:tcPr>
        <w:tcBorders>
          <w:top w:val="nil"/>
          <w:bottom w:val="nil"/>
          <w:insideH w:val="nil"/>
          <w:insideV w:val="nil"/>
        </w:tcBorders>
        <w:shd w:val="clear" w:color="auto" w:fill="E6E5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9B9795" w:themeColor="accent1"/>
        <w:left w:val="single" w:sz="8" w:space="0" w:color="9B9795" w:themeColor="accent1"/>
        <w:bottom w:val="single" w:sz="8" w:space="0" w:color="9B9795" w:themeColor="accent1"/>
        <w:right w:val="single" w:sz="8" w:space="0" w:color="9B9795" w:themeColor="accent1"/>
      </w:tblBorders>
    </w:tblPr>
    <w:tblStylePr w:type="firstRow">
      <w:rPr>
        <w:sz w:val="24"/>
        <w:szCs w:val="24"/>
      </w:rPr>
      <w:tblPr/>
      <w:tcPr>
        <w:tcBorders>
          <w:top w:val="nil"/>
          <w:left w:val="nil"/>
          <w:bottom w:val="single" w:sz="24" w:space="0" w:color="9B9795" w:themeColor="accent1"/>
          <w:right w:val="nil"/>
          <w:insideH w:val="nil"/>
          <w:insideV w:val="nil"/>
        </w:tcBorders>
        <w:shd w:val="clear" w:color="auto" w:fill="FFFFFF" w:themeFill="background1"/>
      </w:tcPr>
    </w:tblStylePr>
    <w:tblStylePr w:type="lastRow">
      <w:tblPr/>
      <w:tcPr>
        <w:tcBorders>
          <w:top w:val="single" w:sz="8" w:space="0" w:color="9B979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9795" w:themeColor="accent1"/>
          <w:insideH w:val="nil"/>
          <w:insideV w:val="nil"/>
        </w:tcBorders>
        <w:shd w:val="clear" w:color="auto" w:fill="FFFFFF" w:themeFill="background1"/>
      </w:tcPr>
    </w:tblStylePr>
    <w:tblStylePr w:type="lastCol">
      <w:tblPr/>
      <w:tcPr>
        <w:tcBorders>
          <w:top w:val="nil"/>
          <w:left w:val="single" w:sz="8" w:space="0" w:color="9B979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5E4" w:themeFill="accent1" w:themeFillTint="3F"/>
      </w:tcPr>
    </w:tblStylePr>
    <w:tblStylePr w:type="band1Horz">
      <w:tblPr/>
      <w:tcPr>
        <w:tcBorders>
          <w:top w:val="nil"/>
          <w:bottom w:val="nil"/>
          <w:insideH w:val="nil"/>
          <w:insideV w:val="nil"/>
        </w:tcBorders>
        <w:shd w:val="clear" w:color="auto" w:fill="E6E5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CE7628" w:themeColor="accent2"/>
        <w:left w:val="single" w:sz="8" w:space="0" w:color="CE7628" w:themeColor="accent2"/>
        <w:bottom w:val="single" w:sz="8" w:space="0" w:color="CE7628" w:themeColor="accent2"/>
        <w:right w:val="single" w:sz="8" w:space="0" w:color="CE7628" w:themeColor="accent2"/>
      </w:tblBorders>
    </w:tblPr>
    <w:tblStylePr w:type="firstRow">
      <w:rPr>
        <w:sz w:val="24"/>
        <w:szCs w:val="24"/>
      </w:rPr>
      <w:tblPr/>
      <w:tcPr>
        <w:tcBorders>
          <w:top w:val="nil"/>
          <w:left w:val="nil"/>
          <w:bottom w:val="single" w:sz="24" w:space="0" w:color="CE7628" w:themeColor="accent2"/>
          <w:right w:val="nil"/>
          <w:insideH w:val="nil"/>
          <w:insideV w:val="nil"/>
        </w:tcBorders>
        <w:shd w:val="clear" w:color="auto" w:fill="FFFFFF" w:themeFill="background1"/>
      </w:tcPr>
    </w:tblStylePr>
    <w:tblStylePr w:type="lastRow">
      <w:tblPr/>
      <w:tcPr>
        <w:tcBorders>
          <w:top w:val="single" w:sz="8" w:space="0" w:color="CE762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7628" w:themeColor="accent2"/>
          <w:insideH w:val="nil"/>
          <w:insideV w:val="nil"/>
        </w:tcBorders>
        <w:shd w:val="clear" w:color="auto" w:fill="FFFFFF" w:themeFill="background1"/>
      </w:tcPr>
    </w:tblStylePr>
    <w:tblStylePr w:type="lastCol">
      <w:tblPr/>
      <w:tcPr>
        <w:tcBorders>
          <w:top w:val="nil"/>
          <w:left w:val="single" w:sz="8" w:space="0" w:color="CE762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CC8" w:themeFill="accent2" w:themeFillTint="3F"/>
      </w:tcPr>
    </w:tblStylePr>
    <w:tblStylePr w:type="band1Horz">
      <w:tblPr/>
      <w:tcPr>
        <w:tcBorders>
          <w:top w:val="nil"/>
          <w:bottom w:val="nil"/>
          <w:insideH w:val="nil"/>
          <w:insideV w:val="nil"/>
        </w:tcBorders>
        <w:shd w:val="clear" w:color="auto" w:fill="F4DC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497537" w:themeColor="accent3"/>
        <w:left w:val="single" w:sz="8" w:space="0" w:color="497537" w:themeColor="accent3"/>
        <w:bottom w:val="single" w:sz="8" w:space="0" w:color="497537" w:themeColor="accent3"/>
        <w:right w:val="single" w:sz="8" w:space="0" w:color="497537" w:themeColor="accent3"/>
      </w:tblBorders>
    </w:tblPr>
    <w:tblStylePr w:type="firstRow">
      <w:rPr>
        <w:sz w:val="24"/>
        <w:szCs w:val="24"/>
      </w:rPr>
      <w:tblPr/>
      <w:tcPr>
        <w:tcBorders>
          <w:top w:val="nil"/>
          <w:left w:val="nil"/>
          <w:bottom w:val="single" w:sz="24" w:space="0" w:color="497537" w:themeColor="accent3"/>
          <w:right w:val="nil"/>
          <w:insideH w:val="nil"/>
          <w:insideV w:val="nil"/>
        </w:tcBorders>
        <w:shd w:val="clear" w:color="auto" w:fill="FFFFFF" w:themeFill="background1"/>
      </w:tcPr>
    </w:tblStylePr>
    <w:tblStylePr w:type="lastRow">
      <w:tblPr/>
      <w:tcPr>
        <w:tcBorders>
          <w:top w:val="single" w:sz="8" w:space="0" w:color="49753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7537" w:themeColor="accent3"/>
          <w:insideH w:val="nil"/>
          <w:insideV w:val="nil"/>
        </w:tcBorders>
        <w:shd w:val="clear" w:color="auto" w:fill="FFFFFF" w:themeFill="background1"/>
      </w:tcPr>
    </w:tblStylePr>
    <w:tblStylePr w:type="lastCol">
      <w:tblPr/>
      <w:tcPr>
        <w:tcBorders>
          <w:top w:val="nil"/>
          <w:left w:val="single" w:sz="8" w:space="0" w:color="49753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4C6" w:themeFill="accent3" w:themeFillTint="3F"/>
      </w:tcPr>
    </w:tblStylePr>
    <w:tblStylePr w:type="band1Horz">
      <w:tblPr/>
      <w:tcPr>
        <w:tcBorders>
          <w:top w:val="nil"/>
          <w:bottom w:val="nil"/>
          <w:insideH w:val="nil"/>
          <w:insideV w:val="nil"/>
        </w:tcBorders>
        <w:shd w:val="clear" w:color="auto" w:fill="CEE4C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A19836" w:themeColor="accent4"/>
        <w:left w:val="single" w:sz="8" w:space="0" w:color="A19836" w:themeColor="accent4"/>
        <w:bottom w:val="single" w:sz="8" w:space="0" w:color="A19836" w:themeColor="accent4"/>
        <w:right w:val="single" w:sz="8" w:space="0" w:color="A19836" w:themeColor="accent4"/>
      </w:tblBorders>
    </w:tblPr>
    <w:tblStylePr w:type="firstRow">
      <w:rPr>
        <w:sz w:val="24"/>
        <w:szCs w:val="24"/>
      </w:rPr>
      <w:tblPr/>
      <w:tcPr>
        <w:tcBorders>
          <w:top w:val="nil"/>
          <w:left w:val="nil"/>
          <w:bottom w:val="single" w:sz="24" w:space="0" w:color="A19836" w:themeColor="accent4"/>
          <w:right w:val="nil"/>
          <w:insideH w:val="nil"/>
          <w:insideV w:val="nil"/>
        </w:tcBorders>
        <w:shd w:val="clear" w:color="auto" w:fill="FFFFFF" w:themeFill="background1"/>
      </w:tcPr>
    </w:tblStylePr>
    <w:tblStylePr w:type="lastRow">
      <w:tblPr/>
      <w:tcPr>
        <w:tcBorders>
          <w:top w:val="single" w:sz="8" w:space="0" w:color="A1983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9836" w:themeColor="accent4"/>
          <w:insideH w:val="nil"/>
          <w:insideV w:val="nil"/>
        </w:tcBorders>
        <w:shd w:val="clear" w:color="auto" w:fill="FFFFFF" w:themeFill="background1"/>
      </w:tcPr>
    </w:tblStylePr>
    <w:tblStylePr w:type="lastCol">
      <w:tblPr/>
      <w:tcPr>
        <w:tcBorders>
          <w:top w:val="nil"/>
          <w:left w:val="single" w:sz="8" w:space="0" w:color="A1983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9C8" w:themeFill="accent4" w:themeFillTint="3F"/>
      </w:tcPr>
    </w:tblStylePr>
    <w:tblStylePr w:type="band1Horz">
      <w:tblPr/>
      <w:tcPr>
        <w:tcBorders>
          <w:top w:val="nil"/>
          <w:bottom w:val="nil"/>
          <w:insideH w:val="nil"/>
          <w:insideV w:val="nil"/>
        </w:tcBorders>
        <w:shd w:val="clear" w:color="auto" w:fill="ECE9C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753749" w:themeColor="accent5"/>
        <w:left w:val="single" w:sz="8" w:space="0" w:color="753749" w:themeColor="accent5"/>
        <w:bottom w:val="single" w:sz="8" w:space="0" w:color="753749" w:themeColor="accent5"/>
        <w:right w:val="single" w:sz="8" w:space="0" w:color="753749" w:themeColor="accent5"/>
      </w:tblBorders>
    </w:tblPr>
    <w:tblStylePr w:type="firstRow">
      <w:rPr>
        <w:sz w:val="24"/>
        <w:szCs w:val="24"/>
      </w:rPr>
      <w:tblPr/>
      <w:tcPr>
        <w:tcBorders>
          <w:top w:val="nil"/>
          <w:left w:val="nil"/>
          <w:bottom w:val="single" w:sz="24" w:space="0" w:color="753749" w:themeColor="accent5"/>
          <w:right w:val="nil"/>
          <w:insideH w:val="nil"/>
          <w:insideV w:val="nil"/>
        </w:tcBorders>
        <w:shd w:val="clear" w:color="auto" w:fill="FFFFFF" w:themeFill="background1"/>
      </w:tcPr>
    </w:tblStylePr>
    <w:tblStylePr w:type="lastRow">
      <w:tblPr/>
      <w:tcPr>
        <w:tcBorders>
          <w:top w:val="single" w:sz="8" w:space="0" w:color="75374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3749" w:themeColor="accent5"/>
          <w:insideH w:val="nil"/>
          <w:insideV w:val="nil"/>
        </w:tcBorders>
        <w:shd w:val="clear" w:color="auto" w:fill="FFFFFF" w:themeFill="background1"/>
      </w:tcPr>
    </w:tblStylePr>
    <w:tblStylePr w:type="lastCol">
      <w:tblPr/>
      <w:tcPr>
        <w:tcBorders>
          <w:top w:val="nil"/>
          <w:left w:val="single" w:sz="8" w:space="0" w:color="75374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C6CE" w:themeFill="accent5" w:themeFillTint="3F"/>
      </w:tcPr>
    </w:tblStylePr>
    <w:tblStylePr w:type="band1Horz">
      <w:tblPr/>
      <w:tcPr>
        <w:tcBorders>
          <w:top w:val="nil"/>
          <w:bottom w:val="nil"/>
          <w:insideH w:val="nil"/>
          <w:insideV w:val="nil"/>
        </w:tcBorders>
        <w:shd w:val="clear" w:color="auto" w:fill="E4C6C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552F5"/>
    <w:pPr>
      <w:spacing w:after="0" w:line="240" w:lineRule="auto"/>
    </w:pPr>
    <w:rPr>
      <w:rFonts w:asciiTheme="majorHAnsi" w:eastAsiaTheme="majorEastAsia" w:hAnsiTheme="majorHAnsi" w:cstheme="majorBidi"/>
      <w:color w:val="9B9795" w:themeColor="text1"/>
    </w:rPr>
    <w:tblPr>
      <w:tblStyleRowBandSize w:val="1"/>
      <w:tblStyleColBandSize w:val="1"/>
      <w:tblBorders>
        <w:top w:val="single" w:sz="8" w:space="0" w:color="F1AF1A" w:themeColor="accent6"/>
        <w:left w:val="single" w:sz="8" w:space="0" w:color="F1AF1A" w:themeColor="accent6"/>
        <w:bottom w:val="single" w:sz="8" w:space="0" w:color="F1AF1A" w:themeColor="accent6"/>
        <w:right w:val="single" w:sz="8" w:space="0" w:color="F1AF1A" w:themeColor="accent6"/>
      </w:tblBorders>
    </w:tblPr>
    <w:tblStylePr w:type="firstRow">
      <w:rPr>
        <w:sz w:val="24"/>
        <w:szCs w:val="24"/>
      </w:rPr>
      <w:tblPr/>
      <w:tcPr>
        <w:tcBorders>
          <w:top w:val="nil"/>
          <w:left w:val="nil"/>
          <w:bottom w:val="single" w:sz="24" w:space="0" w:color="F1AF1A" w:themeColor="accent6"/>
          <w:right w:val="nil"/>
          <w:insideH w:val="nil"/>
          <w:insideV w:val="nil"/>
        </w:tcBorders>
        <w:shd w:val="clear" w:color="auto" w:fill="FFFFFF" w:themeFill="background1"/>
      </w:tcPr>
    </w:tblStylePr>
    <w:tblStylePr w:type="lastRow">
      <w:tblPr/>
      <w:tcPr>
        <w:tcBorders>
          <w:top w:val="single" w:sz="8" w:space="0" w:color="F1AF1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AF1A" w:themeColor="accent6"/>
          <w:insideH w:val="nil"/>
          <w:insideV w:val="nil"/>
        </w:tcBorders>
        <w:shd w:val="clear" w:color="auto" w:fill="FFFFFF" w:themeFill="background1"/>
      </w:tcPr>
    </w:tblStylePr>
    <w:tblStylePr w:type="lastCol">
      <w:tblPr/>
      <w:tcPr>
        <w:tcBorders>
          <w:top w:val="nil"/>
          <w:left w:val="single" w:sz="8" w:space="0" w:color="F1AF1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BC6" w:themeFill="accent6" w:themeFillTint="3F"/>
      </w:tcPr>
    </w:tblStylePr>
    <w:tblStylePr w:type="band1Horz">
      <w:tblPr/>
      <w:tcPr>
        <w:tcBorders>
          <w:top w:val="nil"/>
          <w:bottom w:val="nil"/>
          <w:insideH w:val="nil"/>
          <w:insideV w:val="nil"/>
        </w:tcBorders>
        <w:shd w:val="clear" w:color="auto" w:fill="FBEBC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8552F5"/>
    <w:pPr>
      <w:spacing w:after="0" w:line="240" w:lineRule="auto"/>
    </w:pPr>
    <w:tblPr>
      <w:tblStyleRowBandSize w:val="1"/>
      <w:tblStyleColBandSize w:val="1"/>
      <w:tblBorders>
        <w:top w:val="single" w:sz="8" w:space="0" w:color="B4B1AF" w:themeColor="text1" w:themeTint="BF"/>
        <w:left w:val="single" w:sz="8" w:space="0" w:color="B4B1AF" w:themeColor="text1" w:themeTint="BF"/>
        <w:bottom w:val="single" w:sz="8" w:space="0" w:color="B4B1AF" w:themeColor="text1" w:themeTint="BF"/>
        <w:right w:val="single" w:sz="8" w:space="0" w:color="B4B1AF" w:themeColor="text1" w:themeTint="BF"/>
        <w:insideH w:val="single" w:sz="8" w:space="0" w:color="B4B1AF" w:themeColor="text1" w:themeTint="BF"/>
      </w:tblBorders>
    </w:tblPr>
    <w:tblStylePr w:type="firstRow">
      <w:pPr>
        <w:spacing w:before="0" w:after="0" w:line="240" w:lineRule="auto"/>
      </w:pPr>
      <w:rPr>
        <w:b/>
        <w:bCs/>
        <w:color w:val="FFFFFF" w:themeColor="background1"/>
      </w:rPr>
      <w:tblPr/>
      <w:tcPr>
        <w:tcBorders>
          <w:top w:val="single" w:sz="8" w:space="0" w:color="B4B1AF" w:themeColor="text1" w:themeTint="BF"/>
          <w:left w:val="single" w:sz="8" w:space="0" w:color="B4B1AF" w:themeColor="text1" w:themeTint="BF"/>
          <w:bottom w:val="single" w:sz="8" w:space="0" w:color="B4B1AF" w:themeColor="text1" w:themeTint="BF"/>
          <w:right w:val="single" w:sz="8" w:space="0" w:color="B4B1AF" w:themeColor="text1" w:themeTint="BF"/>
          <w:insideH w:val="nil"/>
          <w:insideV w:val="nil"/>
        </w:tcBorders>
        <w:shd w:val="clear" w:color="auto" w:fill="9B9795" w:themeFill="text1"/>
      </w:tcPr>
    </w:tblStylePr>
    <w:tblStylePr w:type="lastRow">
      <w:pPr>
        <w:spacing w:before="0" w:after="0" w:line="240" w:lineRule="auto"/>
      </w:pPr>
      <w:rPr>
        <w:b/>
        <w:bCs/>
      </w:rPr>
      <w:tblPr/>
      <w:tcPr>
        <w:tcBorders>
          <w:top w:val="double" w:sz="6" w:space="0" w:color="B4B1AF" w:themeColor="text1" w:themeTint="BF"/>
          <w:left w:val="single" w:sz="8" w:space="0" w:color="B4B1AF" w:themeColor="text1" w:themeTint="BF"/>
          <w:bottom w:val="single" w:sz="8" w:space="0" w:color="B4B1AF" w:themeColor="text1" w:themeTint="BF"/>
          <w:right w:val="single" w:sz="8" w:space="0" w:color="B4B1AF" w:themeColor="text1" w:themeTint="BF"/>
          <w:insideH w:val="nil"/>
          <w:insideV w:val="nil"/>
        </w:tcBorders>
      </w:tcPr>
    </w:tblStylePr>
    <w:tblStylePr w:type="firstCol">
      <w:rPr>
        <w:b/>
        <w:bCs/>
      </w:rPr>
    </w:tblStylePr>
    <w:tblStylePr w:type="lastCol">
      <w:rPr>
        <w:b/>
        <w:bCs/>
      </w:rPr>
    </w:tblStylePr>
    <w:tblStylePr w:type="band1Vert">
      <w:tblPr/>
      <w:tcPr>
        <w:shd w:val="clear" w:color="auto" w:fill="E6E5E4" w:themeFill="text1" w:themeFillTint="3F"/>
      </w:tcPr>
    </w:tblStylePr>
    <w:tblStylePr w:type="band1Horz">
      <w:tblPr/>
      <w:tcPr>
        <w:tcBorders>
          <w:insideH w:val="nil"/>
          <w:insideV w:val="nil"/>
        </w:tcBorders>
        <w:shd w:val="clear" w:color="auto" w:fill="E6E5E4"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552F5"/>
    <w:pPr>
      <w:spacing w:after="0" w:line="240" w:lineRule="auto"/>
    </w:pPr>
    <w:tblPr>
      <w:tblStyleRowBandSize w:val="1"/>
      <w:tblStyleColBandSize w:val="1"/>
      <w:tblBorders>
        <w:top w:val="single" w:sz="8" w:space="0" w:color="B4B1AF" w:themeColor="accent1" w:themeTint="BF"/>
        <w:left w:val="single" w:sz="8" w:space="0" w:color="B4B1AF" w:themeColor="accent1" w:themeTint="BF"/>
        <w:bottom w:val="single" w:sz="8" w:space="0" w:color="B4B1AF" w:themeColor="accent1" w:themeTint="BF"/>
        <w:right w:val="single" w:sz="8" w:space="0" w:color="B4B1AF" w:themeColor="accent1" w:themeTint="BF"/>
        <w:insideH w:val="single" w:sz="8" w:space="0" w:color="B4B1AF" w:themeColor="accent1" w:themeTint="BF"/>
      </w:tblBorders>
    </w:tblPr>
    <w:tblStylePr w:type="firstRow">
      <w:pPr>
        <w:spacing w:before="0" w:after="0" w:line="240" w:lineRule="auto"/>
      </w:pPr>
      <w:rPr>
        <w:b/>
        <w:bCs/>
        <w:color w:val="FFFFFF" w:themeColor="background1"/>
      </w:rPr>
      <w:tblPr/>
      <w:tcPr>
        <w:tcBorders>
          <w:top w:val="single" w:sz="8" w:space="0" w:color="B4B1AF" w:themeColor="accent1" w:themeTint="BF"/>
          <w:left w:val="single" w:sz="8" w:space="0" w:color="B4B1AF" w:themeColor="accent1" w:themeTint="BF"/>
          <w:bottom w:val="single" w:sz="8" w:space="0" w:color="B4B1AF" w:themeColor="accent1" w:themeTint="BF"/>
          <w:right w:val="single" w:sz="8" w:space="0" w:color="B4B1AF" w:themeColor="accent1" w:themeTint="BF"/>
          <w:insideH w:val="nil"/>
          <w:insideV w:val="nil"/>
        </w:tcBorders>
        <w:shd w:val="clear" w:color="auto" w:fill="9B9795" w:themeFill="accent1"/>
      </w:tcPr>
    </w:tblStylePr>
    <w:tblStylePr w:type="lastRow">
      <w:pPr>
        <w:spacing w:before="0" w:after="0" w:line="240" w:lineRule="auto"/>
      </w:pPr>
      <w:rPr>
        <w:b/>
        <w:bCs/>
      </w:rPr>
      <w:tblPr/>
      <w:tcPr>
        <w:tcBorders>
          <w:top w:val="double" w:sz="6" w:space="0" w:color="B4B1AF" w:themeColor="accent1" w:themeTint="BF"/>
          <w:left w:val="single" w:sz="8" w:space="0" w:color="B4B1AF" w:themeColor="accent1" w:themeTint="BF"/>
          <w:bottom w:val="single" w:sz="8" w:space="0" w:color="B4B1AF" w:themeColor="accent1" w:themeTint="BF"/>
          <w:right w:val="single" w:sz="8" w:space="0" w:color="B4B1AF"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E5E4" w:themeFill="accent1" w:themeFillTint="3F"/>
      </w:tcPr>
    </w:tblStylePr>
    <w:tblStylePr w:type="band1Horz">
      <w:tblPr/>
      <w:tcPr>
        <w:tcBorders>
          <w:insideH w:val="nil"/>
          <w:insideV w:val="nil"/>
        </w:tcBorders>
        <w:shd w:val="clear" w:color="auto" w:fill="E6E5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552F5"/>
    <w:pPr>
      <w:spacing w:after="0" w:line="240" w:lineRule="auto"/>
    </w:pPr>
    <w:tblPr>
      <w:tblStyleRowBandSize w:val="1"/>
      <w:tblStyleColBandSize w:val="1"/>
      <w:tblBorders>
        <w:top w:val="single" w:sz="8" w:space="0" w:color="DE9759" w:themeColor="accent2" w:themeTint="BF"/>
        <w:left w:val="single" w:sz="8" w:space="0" w:color="DE9759" w:themeColor="accent2" w:themeTint="BF"/>
        <w:bottom w:val="single" w:sz="8" w:space="0" w:color="DE9759" w:themeColor="accent2" w:themeTint="BF"/>
        <w:right w:val="single" w:sz="8" w:space="0" w:color="DE9759" w:themeColor="accent2" w:themeTint="BF"/>
        <w:insideH w:val="single" w:sz="8" w:space="0" w:color="DE9759" w:themeColor="accent2" w:themeTint="BF"/>
      </w:tblBorders>
    </w:tblPr>
    <w:tblStylePr w:type="firstRow">
      <w:pPr>
        <w:spacing w:before="0" w:after="0" w:line="240" w:lineRule="auto"/>
      </w:pPr>
      <w:rPr>
        <w:b/>
        <w:bCs/>
        <w:color w:val="FFFFFF" w:themeColor="background1"/>
      </w:rPr>
      <w:tblPr/>
      <w:tcPr>
        <w:tcBorders>
          <w:top w:val="single" w:sz="8" w:space="0" w:color="DE9759" w:themeColor="accent2" w:themeTint="BF"/>
          <w:left w:val="single" w:sz="8" w:space="0" w:color="DE9759" w:themeColor="accent2" w:themeTint="BF"/>
          <w:bottom w:val="single" w:sz="8" w:space="0" w:color="DE9759" w:themeColor="accent2" w:themeTint="BF"/>
          <w:right w:val="single" w:sz="8" w:space="0" w:color="DE9759" w:themeColor="accent2" w:themeTint="BF"/>
          <w:insideH w:val="nil"/>
          <w:insideV w:val="nil"/>
        </w:tcBorders>
        <w:shd w:val="clear" w:color="auto" w:fill="CE7628" w:themeFill="accent2"/>
      </w:tcPr>
    </w:tblStylePr>
    <w:tblStylePr w:type="lastRow">
      <w:pPr>
        <w:spacing w:before="0" w:after="0" w:line="240" w:lineRule="auto"/>
      </w:pPr>
      <w:rPr>
        <w:b/>
        <w:bCs/>
      </w:rPr>
      <w:tblPr/>
      <w:tcPr>
        <w:tcBorders>
          <w:top w:val="double" w:sz="6" w:space="0" w:color="DE9759" w:themeColor="accent2" w:themeTint="BF"/>
          <w:left w:val="single" w:sz="8" w:space="0" w:color="DE9759" w:themeColor="accent2" w:themeTint="BF"/>
          <w:bottom w:val="single" w:sz="8" w:space="0" w:color="DE9759" w:themeColor="accent2" w:themeTint="BF"/>
          <w:right w:val="single" w:sz="8" w:space="0" w:color="DE975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DCC8" w:themeFill="accent2" w:themeFillTint="3F"/>
      </w:tcPr>
    </w:tblStylePr>
    <w:tblStylePr w:type="band1Horz">
      <w:tblPr/>
      <w:tcPr>
        <w:tcBorders>
          <w:insideH w:val="nil"/>
          <w:insideV w:val="nil"/>
        </w:tcBorders>
        <w:shd w:val="clear" w:color="auto" w:fill="F4DC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552F5"/>
    <w:pPr>
      <w:spacing w:after="0" w:line="240" w:lineRule="auto"/>
    </w:pPr>
    <w:tblPr>
      <w:tblStyleRowBandSize w:val="1"/>
      <w:tblStyleColBandSize w:val="1"/>
      <w:tblBorders>
        <w:top w:val="single" w:sz="8" w:space="0" w:color="6DAE52" w:themeColor="accent3" w:themeTint="BF"/>
        <w:left w:val="single" w:sz="8" w:space="0" w:color="6DAE52" w:themeColor="accent3" w:themeTint="BF"/>
        <w:bottom w:val="single" w:sz="8" w:space="0" w:color="6DAE52" w:themeColor="accent3" w:themeTint="BF"/>
        <w:right w:val="single" w:sz="8" w:space="0" w:color="6DAE52" w:themeColor="accent3" w:themeTint="BF"/>
        <w:insideH w:val="single" w:sz="8" w:space="0" w:color="6DAE52" w:themeColor="accent3" w:themeTint="BF"/>
      </w:tblBorders>
    </w:tblPr>
    <w:tblStylePr w:type="firstRow">
      <w:pPr>
        <w:spacing w:before="0" w:after="0" w:line="240" w:lineRule="auto"/>
      </w:pPr>
      <w:rPr>
        <w:b/>
        <w:bCs/>
        <w:color w:val="FFFFFF" w:themeColor="background1"/>
      </w:rPr>
      <w:tblPr/>
      <w:tcPr>
        <w:tcBorders>
          <w:top w:val="single" w:sz="8" w:space="0" w:color="6DAE52" w:themeColor="accent3" w:themeTint="BF"/>
          <w:left w:val="single" w:sz="8" w:space="0" w:color="6DAE52" w:themeColor="accent3" w:themeTint="BF"/>
          <w:bottom w:val="single" w:sz="8" w:space="0" w:color="6DAE52" w:themeColor="accent3" w:themeTint="BF"/>
          <w:right w:val="single" w:sz="8" w:space="0" w:color="6DAE52" w:themeColor="accent3" w:themeTint="BF"/>
          <w:insideH w:val="nil"/>
          <w:insideV w:val="nil"/>
        </w:tcBorders>
        <w:shd w:val="clear" w:color="auto" w:fill="497537" w:themeFill="accent3"/>
      </w:tcPr>
    </w:tblStylePr>
    <w:tblStylePr w:type="lastRow">
      <w:pPr>
        <w:spacing w:before="0" w:after="0" w:line="240" w:lineRule="auto"/>
      </w:pPr>
      <w:rPr>
        <w:b/>
        <w:bCs/>
      </w:rPr>
      <w:tblPr/>
      <w:tcPr>
        <w:tcBorders>
          <w:top w:val="double" w:sz="6" w:space="0" w:color="6DAE52" w:themeColor="accent3" w:themeTint="BF"/>
          <w:left w:val="single" w:sz="8" w:space="0" w:color="6DAE52" w:themeColor="accent3" w:themeTint="BF"/>
          <w:bottom w:val="single" w:sz="8" w:space="0" w:color="6DAE52" w:themeColor="accent3" w:themeTint="BF"/>
          <w:right w:val="single" w:sz="8" w:space="0" w:color="6DAE5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E4C6" w:themeFill="accent3" w:themeFillTint="3F"/>
      </w:tcPr>
    </w:tblStylePr>
    <w:tblStylePr w:type="band1Horz">
      <w:tblPr/>
      <w:tcPr>
        <w:tcBorders>
          <w:insideH w:val="nil"/>
          <w:insideV w:val="nil"/>
        </w:tcBorders>
        <w:shd w:val="clear" w:color="auto" w:fill="CEE4C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552F5"/>
    <w:pPr>
      <w:spacing w:after="0" w:line="240" w:lineRule="auto"/>
    </w:pPr>
    <w:tblPr>
      <w:tblStyleRowBandSize w:val="1"/>
      <w:tblStyleColBandSize w:val="1"/>
      <w:tblBorders>
        <w:top w:val="single" w:sz="8" w:space="0" w:color="C7BE59" w:themeColor="accent4" w:themeTint="BF"/>
        <w:left w:val="single" w:sz="8" w:space="0" w:color="C7BE59" w:themeColor="accent4" w:themeTint="BF"/>
        <w:bottom w:val="single" w:sz="8" w:space="0" w:color="C7BE59" w:themeColor="accent4" w:themeTint="BF"/>
        <w:right w:val="single" w:sz="8" w:space="0" w:color="C7BE59" w:themeColor="accent4" w:themeTint="BF"/>
        <w:insideH w:val="single" w:sz="8" w:space="0" w:color="C7BE59" w:themeColor="accent4" w:themeTint="BF"/>
      </w:tblBorders>
    </w:tblPr>
    <w:tblStylePr w:type="firstRow">
      <w:pPr>
        <w:spacing w:before="0" w:after="0" w:line="240" w:lineRule="auto"/>
      </w:pPr>
      <w:rPr>
        <w:b/>
        <w:bCs/>
        <w:color w:val="FFFFFF" w:themeColor="background1"/>
      </w:rPr>
      <w:tblPr/>
      <w:tcPr>
        <w:tcBorders>
          <w:top w:val="single" w:sz="8" w:space="0" w:color="C7BE59" w:themeColor="accent4" w:themeTint="BF"/>
          <w:left w:val="single" w:sz="8" w:space="0" w:color="C7BE59" w:themeColor="accent4" w:themeTint="BF"/>
          <w:bottom w:val="single" w:sz="8" w:space="0" w:color="C7BE59" w:themeColor="accent4" w:themeTint="BF"/>
          <w:right w:val="single" w:sz="8" w:space="0" w:color="C7BE59" w:themeColor="accent4" w:themeTint="BF"/>
          <w:insideH w:val="nil"/>
          <w:insideV w:val="nil"/>
        </w:tcBorders>
        <w:shd w:val="clear" w:color="auto" w:fill="A19836" w:themeFill="accent4"/>
      </w:tcPr>
    </w:tblStylePr>
    <w:tblStylePr w:type="lastRow">
      <w:pPr>
        <w:spacing w:before="0" w:after="0" w:line="240" w:lineRule="auto"/>
      </w:pPr>
      <w:rPr>
        <w:b/>
        <w:bCs/>
      </w:rPr>
      <w:tblPr/>
      <w:tcPr>
        <w:tcBorders>
          <w:top w:val="double" w:sz="6" w:space="0" w:color="C7BE59" w:themeColor="accent4" w:themeTint="BF"/>
          <w:left w:val="single" w:sz="8" w:space="0" w:color="C7BE59" w:themeColor="accent4" w:themeTint="BF"/>
          <w:bottom w:val="single" w:sz="8" w:space="0" w:color="C7BE59" w:themeColor="accent4" w:themeTint="BF"/>
          <w:right w:val="single" w:sz="8" w:space="0" w:color="C7BE59"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9C8" w:themeFill="accent4" w:themeFillTint="3F"/>
      </w:tcPr>
    </w:tblStylePr>
    <w:tblStylePr w:type="band1Horz">
      <w:tblPr/>
      <w:tcPr>
        <w:tcBorders>
          <w:insideH w:val="nil"/>
          <w:insideV w:val="nil"/>
        </w:tcBorders>
        <w:shd w:val="clear" w:color="auto" w:fill="ECE9C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552F5"/>
    <w:pPr>
      <w:spacing w:after="0" w:line="240" w:lineRule="auto"/>
    </w:pPr>
    <w:tblPr>
      <w:tblStyleRowBandSize w:val="1"/>
      <w:tblStyleColBandSize w:val="1"/>
      <w:tblBorders>
        <w:top w:val="single" w:sz="8" w:space="0" w:color="AE526D" w:themeColor="accent5" w:themeTint="BF"/>
        <w:left w:val="single" w:sz="8" w:space="0" w:color="AE526D" w:themeColor="accent5" w:themeTint="BF"/>
        <w:bottom w:val="single" w:sz="8" w:space="0" w:color="AE526D" w:themeColor="accent5" w:themeTint="BF"/>
        <w:right w:val="single" w:sz="8" w:space="0" w:color="AE526D" w:themeColor="accent5" w:themeTint="BF"/>
        <w:insideH w:val="single" w:sz="8" w:space="0" w:color="AE526D" w:themeColor="accent5" w:themeTint="BF"/>
      </w:tblBorders>
    </w:tblPr>
    <w:tblStylePr w:type="firstRow">
      <w:pPr>
        <w:spacing w:before="0" w:after="0" w:line="240" w:lineRule="auto"/>
      </w:pPr>
      <w:rPr>
        <w:b/>
        <w:bCs/>
        <w:color w:val="FFFFFF" w:themeColor="background1"/>
      </w:rPr>
      <w:tblPr/>
      <w:tcPr>
        <w:tcBorders>
          <w:top w:val="single" w:sz="8" w:space="0" w:color="AE526D" w:themeColor="accent5" w:themeTint="BF"/>
          <w:left w:val="single" w:sz="8" w:space="0" w:color="AE526D" w:themeColor="accent5" w:themeTint="BF"/>
          <w:bottom w:val="single" w:sz="8" w:space="0" w:color="AE526D" w:themeColor="accent5" w:themeTint="BF"/>
          <w:right w:val="single" w:sz="8" w:space="0" w:color="AE526D" w:themeColor="accent5" w:themeTint="BF"/>
          <w:insideH w:val="nil"/>
          <w:insideV w:val="nil"/>
        </w:tcBorders>
        <w:shd w:val="clear" w:color="auto" w:fill="753749" w:themeFill="accent5"/>
      </w:tcPr>
    </w:tblStylePr>
    <w:tblStylePr w:type="lastRow">
      <w:pPr>
        <w:spacing w:before="0" w:after="0" w:line="240" w:lineRule="auto"/>
      </w:pPr>
      <w:rPr>
        <w:b/>
        <w:bCs/>
      </w:rPr>
      <w:tblPr/>
      <w:tcPr>
        <w:tcBorders>
          <w:top w:val="double" w:sz="6" w:space="0" w:color="AE526D" w:themeColor="accent5" w:themeTint="BF"/>
          <w:left w:val="single" w:sz="8" w:space="0" w:color="AE526D" w:themeColor="accent5" w:themeTint="BF"/>
          <w:bottom w:val="single" w:sz="8" w:space="0" w:color="AE526D" w:themeColor="accent5" w:themeTint="BF"/>
          <w:right w:val="single" w:sz="8" w:space="0" w:color="AE526D" w:themeColor="accent5" w:themeTint="BF"/>
          <w:insideH w:val="nil"/>
          <w:insideV w:val="nil"/>
        </w:tcBorders>
      </w:tcPr>
    </w:tblStylePr>
    <w:tblStylePr w:type="firstCol">
      <w:rPr>
        <w:b/>
        <w:bCs/>
      </w:rPr>
    </w:tblStylePr>
    <w:tblStylePr w:type="lastCol">
      <w:rPr>
        <w:b/>
        <w:bCs/>
      </w:rPr>
    </w:tblStylePr>
    <w:tblStylePr w:type="band1Vert">
      <w:tblPr/>
      <w:tcPr>
        <w:shd w:val="clear" w:color="auto" w:fill="E4C6CE" w:themeFill="accent5" w:themeFillTint="3F"/>
      </w:tcPr>
    </w:tblStylePr>
    <w:tblStylePr w:type="band1Horz">
      <w:tblPr/>
      <w:tcPr>
        <w:tcBorders>
          <w:insideH w:val="nil"/>
          <w:insideV w:val="nil"/>
        </w:tcBorders>
        <w:shd w:val="clear" w:color="auto" w:fill="E4C6C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552F5"/>
    <w:pPr>
      <w:spacing w:after="0" w:line="240" w:lineRule="auto"/>
    </w:pPr>
    <w:tblPr>
      <w:tblStyleRowBandSize w:val="1"/>
      <w:tblStyleColBandSize w:val="1"/>
      <w:tblBorders>
        <w:top w:val="single" w:sz="8" w:space="0" w:color="F4C253" w:themeColor="accent6" w:themeTint="BF"/>
        <w:left w:val="single" w:sz="8" w:space="0" w:color="F4C253" w:themeColor="accent6" w:themeTint="BF"/>
        <w:bottom w:val="single" w:sz="8" w:space="0" w:color="F4C253" w:themeColor="accent6" w:themeTint="BF"/>
        <w:right w:val="single" w:sz="8" w:space="0" w:color="F4C253" w:themeColor="accent6" w:themeTint="BF"/>
        <w:insideH w:val="single" w:sz="8" w:space="0" w:color="F4C253" w:themeColor="accent6" w:themeTint="BF"/>
      </w:tblBorders>
    </w:tblPr>
    <w:tblStylePr w:type="firstRow">
      <w:pPr>
        <w:spacing w:before="0" w:after="0" w:line="240" w:lineRule="auto"/>
      </w:pPr>
      <w:rPr>
        <w:b/>
        <w:bCs/>
        <w:color w:val="FFFFFF" w:themeColor="background1"/>
      </w:rPr>
      <w:tblPr/>
      <w:tcPr>
        <w:tcBorders>
          <w:top w:val="single" w:sz="8" w:space="0" w:color="F4C253" w:themeColor="accent6" w:themeTint="BF"/>
          <w:left w:val="single" w:sz="8" w:space="0" w:color="F4C253" w:themeColor="accent6" w:themeTint="BF"/>
          <w:bottom w:val="single" w:sz="8" w:space="0" w:color="F4C253" w:themeColor="accent6" w:themeTint="BF"/>
          <w:right w:val="single" w:sz="8" w:space="0" w:color="F4C253" w:themeColor="accent6" w:themeTint="BF"/>
          <w:insideH w:val="nil"/>
          <w:insideV w:val="nil"/>
        </w:tcBorders>
        <w:shd w:val="clear" w:color="auto" w:fill="F1AF1A" w:themeFill="accent6"/>
      </w:tcPr>
    </w:tblStylePr>
    <w:tblStylePr w:type="lastRow">
      <w:pPr>
        <w:spacing w:before="0" w:after="0" w:line="240" w:lineRule="auto"/>
      </w:pPr>
      <w:rPr>
        <w:b/>
        <w:bCs/>
      </w:rPr>
      <w:tblPr/>
      <w:tcPr>
        <w:tcBorders>
          <w:top w:val="double" w:sz="6" w:space="0" w:color="F4C253" w:themeColor="accent6" w:themeTint="BF"/>
          <w:left w:val="single" w:sz="8" w:space="0" w:color="F4C253" w:themeColor="accent6" w:themeTint="BF"/>
          <w:bottom w:val="single" w:sz="8" w:space="0" w:color="F4C253" w:themeColor="accent6" w:themeTint="BF"/>
          <w:right w:val="single" w:sz="8" w:space="0" w:color="F4C253"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BC6" w:themeFill="accent6" w:themeFillTint="3F"/>
      </w:tcPr>
    </w:tblStylePr>
    <w:tblStylePr w:type="band1Horz">
      <w:tblPr/>
      <w:tcPr>
        <w:tcBorders>
          <w:insideH w:val="nil"/>
          <w:insideV w:val="nil"/>
        </w:tcBorders>
        <w:shd w:val="clear" w:color="auto" w:fill="FBEBC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8552F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9795"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9795" w:themeFill="text1"/>
      </w:tcPr>
    </w:tblStylePr>
    <w:tblStylePr w:type="lastCol">
      <w:rPr>
        <w:b/>
        <w:bCs/>
        <w:color w:val="FFFFFF" w:themeColor="background1"/>
      </w:rPr>
      <w:tblPr/>
      <w:tcPr>
        <w:tcBorders>
          <w:left w:val="nil"/>
          <w:right w:val="nil"/>
          <w:insideH w:val="nil"/>
          <w:insideV w:val="nil"/>
        </w:tcBorders>
        <w:shd w:val="clear" w:color="auto" w:fill="9B9795"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552F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979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9795" w:themeFill="accent1"/>
      </w:tcPr>
    </w:tblStylePr>
    <w:tblStylePr w:type="lastCol">
      <w:rPr>
        <w:b/>
        <w:bCs/>
        <w:color w:val="FFFFFF" w:themeColor="background1"/>
      </w:rPr>
      <w:tblPr/>
      <w:tcPr>
        <w:tcBorders>
          <w:left w:val="nil"/>
          <w:right w:val="nil"/>
          <w:insideH w:val="nil"/>
          <w:insideV w:val="nil"/>
        </w:tcBorders>
        <w:shd w:val="clear" w:color="auto" w:fill="9B979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552F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762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7628" w:themeFill="accent2"/>
      </w:tcPr>
    </w:tblStylePr>
    <w:tblStylePr w:type="lastCol">
      <w:rPr>
        <w:b/>
        <w:bCs/>
        <w:color w:val="FFFFFF" w:themeColor="background1"/>
      </w:rPr>
      <w:tblPr/>
      <w:tcPr>
        <w:tcBorders>
          <w:left w:val="nil"/>
          <w:right w:val="nil"/>
          <w:insideH w:val="nil"/>
          <w:insideV w:val="nil"/>
        </w:tcBorders>
        <w:shd w:val="clear" w:color="auto" w:fill="CE762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552F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753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97537" w:themeFill="accent3"/>
      </w:tcPr>
    </w:tblStylePr>
    <w:tblStylePr w:type="lastCol">
      <w:rPr>
        <w:b/>
        <w:bCs/>
        <w:color w:val="FFFFFF" w:themeColor="background1"/>
      </w:rPr>
      <w:tblPr/>
      <w:tcPr>
        <w:tcBorders>
          <w:left w:val="nil"/>
          <w:right w:val="nil"/>
          <w:insideH w:val="nil"/>
          <w:insideV w:val="nil"/>
        </w:tcBorders>
        <w:shd w:val="clear" w:color="auto" w:fill="49753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552F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983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9836" w:themeFill="accent4"/>
      </w:tcPr>
    </w:tblStylePr>
    <w:tblStylePr w:type="lastCol">
      <w:rPr>
        <w:b/>
        <w:bCs/>
        <w:color w:val="FFFFFF" w:themeColor="background1"/>
      </w:rPr>
      <w:tblPr/>
      <w:tcPr>
        <w:tcBorders>
          <w:left w:val="nil"/>
          <w:right w:val="nil"/>
          <w:insideH w:val="nil"/>
          <w:insideV w:val="nil"/>
        </w:tcBorders>
        <w:shd w:val="clear" w:color="auto" w:fill="A1983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552F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374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3749" w:themeFill="accent5"/>
      </w:tcPr>
    </w:tblStylePr>
    <w:tblStylePr w:type="lastCol">
      <w:rPr>
        <w:b/>
        <w:bCs/>
        <w:color w:val="FFFFFF" w:themeColor="background1"/>
      </w:rPr>
      <w:tblPr/>
      <w:tcPr>
        <w:tcBorders>
          <w:left w:val="nil"/>
          <w:right w:val="nil"/>
          <w:insideH w:val="nil"/>
          <w:insideV w:val="nil"/>
        </w:tcBorders>
        <w:shd w:val="clear" w:color="auto" w:fill="75374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552F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AF1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AF1A" w:themeFill="accent6"/>
      </w:tcPr>
    </w:tblStylePr>
    <w:tblStylePr w:type="lastCol">
      <w:rPr>
        <w:b/>
        <w:bCs/>
        <w:color w:val="FFFFFF" w:themeColor="background1"/>
      </w:rPr>
      <w:tblPr/>
      <w:tcPr>
        <w:tcBorders>
          <w:left w:val="nil"/>
          <w:right w:val="nil"/>
          <w:insideH w:val="nil"/>
          <w:insideV w:val="nil"/>
        </w:tcBorders>
        <w:shd w:val="clear" w:color="auto" w:fill="F1AF1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B200A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200AF"/>
    <w:rPr>
      <w:rFonts w:asciiTheme="majorHAnsi" w:eastAsiaTheme="majorEastAsia" w:hAnsiTheme="majorHAnsi" w:cstheme="majorBidi"/>
      <w:sz w:val="24"/>
      <w:szCs w:val="24"/>
      <w:shd w:val="pct20" w:color="auto" w:fill="auto"/>
      <w:lang w:val="en-AU"/>
    </w:rPr>
  </w:style>
  <w:style w:type="paragraph" w:styleId="NoSpacing">
    <w:name w:val="No Spacing"/>
    <w:uiPriority w:val="19"/>
    <w:semiHidden/>
    <w:qFormat/>
    <w:rsid w:val="00840060"/>
    <w:pPr>
      <w:spacing w:after="0" w:line="240" w:lineRule="auto"/>
    </w:pPr>
    <w:rPr>
      <w:lang w:val="en-AU"/>
    </w:rPr>
  </w:style>
  <w:style w:type="paragraph" w:styleId="NormalWeb">
    <w:name w:val="Normal (Web)"/>
    <w:basedOn w:val="Normal"/>
    <w:uiPriority w:val="99"/>
    <w:semiHidden/>
    <w:unhideWhenUsed/>
    <w:rsid w:val="00B200AF"/>
    <w:rPr>
      <w:rFonts w:ascii="Times New Roman" w:hAnsi="Times New Roman"/>
      <w:sz w:val="24"/>
      <w:szCs w:val="24"/>
    </w:rPr>
  </w:style>
  <w:style w:type="paragraph" w:styleId="NormalIndent">
    <w:name w:val="Normal Indent"/>
    <w:basedOn w:val="Normal"/>
    <w:uiPriority w:val="99"/>
    <w:semiHidden/>
    <w:unhideWhenUsed/>
    <w:rsid w:val="00B200AF"/>
    <w:pPr>
      <w:ind w:left="720"/>
    </w:pPr>
  </w:style>
  <w:style w:type="paragraph" w:styleId="NoteHeading">
    <w:name w:val="Note Heading"/>
    <w:basedOn w:val="Normal"/>
    <w:next w:val="Normal"/>
    <w:link w:val="NoteHeadingChar"/>
    <w:uiPriority w:val="99"/>
    <w:semiHidden/>
    <w:unhideWhenUsed/>
    <w:rsid w:val="00B200AF"/>
    <w:pPr>
      <w:spacing w:after="0"/>
    </w:pPr>
  </w:style>
  <w:style w:type="character" w:customStyle="1" w:styleId="NoteHeadingChar">
    <w:name w:val="Note Heading Char"/>
    <w:basedOn w:val="DefaultParagraphFont"/>
    <w:link w:val="NoteHeading"/>
    <w:uiPriority w:val="99"/>
    <w:semiHidden/>
    <w:rsid w:val="00B200AF"/>
    <w:rPr>
      <w:rFonts w:ascii="Arial" w:hAnsi="Arial"/>
      <w:sz w:val="20"/>
      <w:lang w:val="en-AU"/>
    </w:rPr>
  </w:style>
  <w:style w:type="character" w:styleId="PageNumber">
    <w:name w:val="page number"/>
    <w:uiPriority w:val="19"/>
    <w:semiHidden/>
    <w:rsid w:val="00AF2717"/>
    <w:rPr>
      <w:rFonts w:ascii="Arial" w:hAnsi="Arial"/>
      <w:sz w:val="18"/>
    </w:rPr>
  </w:style>
  <w:style w:type="character" w:styleId="PlaceholderText">
    <w:name w:val="Placeholder Text"/>
    <w:basedOn w:val="DefaultParagraphFont"/>
    <w:uiPriority w:val="99"/>
    <w:semiHidden/>
    <w:rsid w:val="00B200AF"/>
    <w:rPr>
      <w:color w:val="808080"/>
    </w:rPr>
  </w:style>
  <w:style w:type="paragraph" w:styleId="PlainText">
    <w:name w:val="Plain Text"/>
    <w:basedOn w:val="Normal"/>
    <w:link w:val="PlainTextChar"/>
    <w:uiPriority w:val="99"/>
    <w:semiHidden/>
    <w:unhideWhenUsed/>
    <w:rsid w:val="00B200AF"/>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B200AF"/>
    <w:rPr>
      <w:rFonts w:ascii="Consolas" w:hAnsi="Consolas" w:cs="Consolas"/>
      <w:sz w:val="21"/>
      <w:szCs w:val="21"/>
      <w:lang w:val="en-AU"/>
    </w:rPr>
  </w:style>
  <w:style w:type="paragraph" w:styleId="Quote">
    <w:name w:val="Quote"/>
    <w:basedOn w:val="Normal"/>
    <w:next w:val="Normal"/>
    <w:link w:val="QuoteChar"/>
    <w:uiPriority w:val="29"/>
    <w:semiHidden/>
    <w:qFormat/>
    <w:rsid w:val="00840060"/>
    <w:rPr>
      <w:i/>
      <w:iCs/>
      <w:color w:val="9B9795" w:themeColor="text1"/>
      <w:lang w:val="en-AU"/>
    </w:rPr>
  </w:style>
  <w:style w:type="character" w:customStyle="1" w:styleId="QuoteChar">
    <w:name w:val="Quote Char"/>
    <w:basedOn w:val="DefaultParagraphFont"/>
    <w:link w:val="Quote"/>
    <w:uiPriority w:val="29"/>
    <w:semiHidden/>
    <w:rsid w:val="00840060"/>
    <w:rPr>
      <w:i/>
      <w:iCs/>
      <w:color w:val="9B9795" w:themeColor="text1"/>
      <w:lang w:val="en-AU"/>
    </w:rPr>
  </w:style>
  <w:style w:type="paragraph" w:styleId="Salutation">
    <w:name w:val="Salutation"/>
    <w:basedOn w:val="Normal"/>
    <w:next w:val="Normal"/>
    <w:link w:val="SalutationChar"/>
    <w:uiPriority w:val="99"/>
    <w:semiHidden/>
    <w:unhideWhenUsed/>
    <w:rsid w:val="00B200AF"/>
  </w:style>
  <w:style w:type="character" w:customStyle="1" w:styleId="SalutationChar">
    <w:name w:val="Salutation Char"/>
    <w:basedOn w:val="DefaultParagraphFont"/>
    <w:link w:val="Salutation"/>
    <w:uiPriority w:val="99"/>
    <w:semiHidden/>
    <w:rsid w:val="00B200AF"/>
    <w:rPr>
      <w:rFonts w:ascii="Arial" w:hAnsi="Arial"/>
      <w:sz w:val="20"/>
      <w:lang w:val="en-AU"/>
    </w:rPr>
  </w:style>
  <w:style w:type="paragraph" w:styleId="Signature">
    <w:name w:val="Signature"/>
    <w:basedOn w:val="Normal"/>
    <w:link w:val="SignatureChar"/>
    <w:uiPriority w:val="99"/>
    <w:semiHidden/>
    <w:unhideWhenUsed/>
    <w:rsid w:val="00B200AF"/>
    <w:pPr>
      <w:spacing w:after="0"/>
      <w:ind w:left="4252"/>
    </w:pPr>
  </w:style>
  <w:style w:type="character" w:customStyle="1" w:styleId="SignatureChar">
    <w:name w:val="Signature Char"/>
    <w:basedOn w:val="DefaultParagraphFont"/>
    <w:link w:val="Signature"/>
    <w:uiPriority w:val="99"/>
    <w:semiHidden/>
    <w:rsid w:val="00B200AF"/>
    <w:rPr>
      <w:rFonts w:ascii="Arial" w:hAnsi="Arial"/>
      <w:sz w:val="20"/>
      <w:lang w:val="en-AU"/>
    </w:rPr>
  </w:style>
  <w:style w:type="character" w:styleId="Strong">
    <w:name w:val="Strong"/>
    <w:basedOn w:val="DefaultParagraphFont"/>
    <w:uiPriority w:val="22"/>
    <w:semiHidden/>
    <w:qFormat/>
    <w:rsid w:val="00840060"/>
    <w:rPr>
      <w:b/>
      <w:bCs/>
    </w:rPr>
  </w:style>
  <w:style w:type="character" w:styleId="SubtleEmphasis">
    <w:name w:val="Subtle Emphasis"/>
    <w:basedOn w:val="DefaultParagraphFont"/>
    <w:uiPriority w:val="19"/>
    <w:semiHidden/>
    <w:qFormat/>
    <w:rsid w:val="00840060"/>
    <w:rPr>
      <w:i/>
      <w:iCs/>
      <w:color w:val="CDCBCA" w:themeColor="text1" w:themeTint="7F"/>
    </w:rPr>
  </w:style>
  <w:style w:type="character" w:styleId="SubtleReference">
    <w:name w:val="Subtle Reference"/>
    <w:basedOn w:val="DefaultParagraphFont"/>
    <w:uiPriority w:val="31"/>
    <w:semiHidden/>
    <w:qFormat/>
    <w:rsid w:val="00840060"/>
    <w:rPr>
      <w:smallCaps/>
      <w:color w:val="CE7628" w:themeColor="accent2"/>
      <w:u w:val="single"/>
    </w:rPr>
  </w:style>
  <w:style w:type="table" w:styleId="Table3Deffects1">
    <w:name w:val="Table 3D effects 1"/>
    <w:basedOn w:val="TableNormal"/>
    <w:uiPriority w:val="99"/>
    <w:semiHidden/>
    <w:unhideWhenUsed/>
    <w:rsid w:val="00B200AF"/>
    <w:pPr>
      <w:spacing w:after="24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200AF"/>
    <w:pPr>
      <w:spacing w:after="24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200AF"/>
    <w:pPr>
      <w:spacing w:after="24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F2717"/>
    <w:pPr>
      <w:spacing w:after="0" w:line="240" w:lineRule="auto"/>
    </w:pPr>
    <w:rPr>
      <w:rFonts w:ascii="Times New Roman" w:eastAsia="Times New Roman" w:hAnsi="Times New Roman" w:cs="Times New Roman"/>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200AF"/>
    <w:pPr>
      <w:spacing w:after="24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200AF"/>
    <w:pPr>
      <w:spacing w:after="24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200AF"/>
    <w:pPr>
      <w:spacing w:after="24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200AF"/>
    <w:pPr>
      <w:spacing w:after="24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200AF"/>
    <w:pPr>
      <w:spacing w:after="24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200AF"/>
    <w:pPr>
      <w:spacing w:after="24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200AF"/>
    <w:pPr>
      <w:spacing w:after="24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200AF"/>
    <w:pPr>
      <w:spacing w:after="24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200AF"/>
    <w:pPr>
      <w:spacing w:after="24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200AF"/>
    <w:pPr>
      <w:spacing w:after="24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200AF"/>
    <w:pPr>
      <w:spacing w:after="24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200AF"/>
    <w:pPr>
      <w:spacing w:after="24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200AF"/>
    <w:pPr>
      <w:spacing w:after="24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200AF"/>
    <w:pPr>
      <w:spacing w:after="24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200AF"/>
    <w:pPr>
      <w:spacing w:after="24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200AF"/>
    <w:pPr>
      <w:spacing w:after="24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200AF"/>
    <w:pPr>
      <w:spacing w:after="24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200AF"/>
    <w:pPr>
      <w:spacing w:after="24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200AF"/>
    <w:pPr>
      <w:spacing w:after="24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200AF"/>
    <w:pPr>
      <w:spacing w:after="24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200AF"/>
    <w:pPr>
      <w:spacing w:after="24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B200AF"/>
    <w:pPr>
      <w:spacing w:after="24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200AF"/>
    <w:pPr>
      <w:spacing w:after="24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200AF"/>
    <w:pPr>
      <w:spacing w:after="24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200AF"/>
    <w:pPr>
      <w:spacing w:after="24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200AF"/>
    <w:pPr>
      <w:spacing w:after="24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200AF"/>
    <w:pPr>
      <w:spacing w:after="24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200AF"/>
    <w:pPr>
      <w:spacing w:after="24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200AF"/>
    <w:pPr>
      <w:spacing w:after="24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200AF"/>
    <w:pPr>
      <w:spacing w:after="0"/>
      <w:ind w:left="220" w:hanging="220"/>
    </w:pPr>
  </w:style>
  <w:style w:type="paragraph" w:styleId="TableofFigures">
    <w:name w:val="table of figures"/>
    <w:basedOn w:val="Normal"/>
    <w:next w:val="Normal"/>
    <w:uiPriority w:val="99"/>
    <w:semiHidden/>
    <w:unhideWhenUsed/>
    <w:rsid w:val="00B200AF"/>
    <w:pPr>
      <w:spacing w:after="0"/>
    </w:pPr>
  </w:style>
  <w:style w:type="table" w:styleId="TableProfessional">
    <w:name w:val="Table Professional"/>
    <w:basedOn w:val="TableNormal"/>
    <w:uiPriority w:val="99"/>
    <w:semiHidden/>
    <w:unhideWhenUsed/>
    <w:rsid w:val="00B200AF"/>
    <w:pPr>
      <w:spacing w:after="24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200AF"/>
    <w:pPr>
      <w:spacing w:after="24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200AF"/>
    <w:pPr>
      <w:spacing w:after="24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200AF"/>
    <w:pPr>
      <w:spacing w:after="24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200AF"/>
    <w:pPr>
      <w:spacing w:after="24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200AF"/>
    <w:pPr>
      <w:spacing w:after="24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200AF"/>
    <w:pPr>
      <w:spacing w:after="24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200AF"/>
    <w:pPr>
      <w:spacing w:after="24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200AF"/>
    <w:pPr>
      <w:spacing w:after="24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200AF"/>
    <w:pPr>
      <w:spacing w:after="24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B200A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rsid w:val="00281B71"/>
    <w:pPr>
      <w:tabs>
        <w:tab w:val="right" w:pos="9402"/>
      </w:tabs>
      <w:spacing w:before="240" w:after="120"/>
      <w:ind w:left="658"/>
    </w:pPr>
    <w:rPr>
      <w:rFonts w:ascii="Candara" w:hAnsi="Candara"/>
      <w:b/>
      <w:sz w:val="24"/>
      <w:szCs w:val="18"/>
    </w:rPr>
  </w:style>
  <w:style w:type="paragraph" w:styleId="TOC8">
    <w:name w:val="toc 8"/>
    <w:basedOn w:val="Normal"/>
    <w:next w:val="Normal"/>
    <w:autoRedefine/>
    <w:uiPriority w:val="19"/>
    <w:semiHidden/>
    <w:rsid w:val="00AF2717"/>
    <w:pPr>
      <w:ind w:left="1540"/>
    </w:pPr>
    <w:rPr>
      <w:sz w:val="18"/>
      <w:szCs w:val="18"/>
    </w:rPr>
  </w:style>
  <w:style w:type="paragraph" w:styleId="TOC9">
    <w:name w:val="toc 9"/>
    <w:basedOn w:val="Normal"/>
    <w:next w:val="Normal"/>
    <w:autoRedefine/>
    <w:uiPriority w:val="19"/>
    <w:semiHidden/>
    <w:rsid w:val="00AF2717"/>
    <w:pPr>
      <w:ind w:left="1760"/>
    </w:pPr>
    <w:rPr>
      <w:sz w:val="18"/>
      <w:szCs w:val="18"/>
    </w:rPr>
  </w:style>
  <w:style w:type="paragraph" w:customStyle="1" w:styleId="NormalSmall">
    <w:name w:val="NormalSmall"/>
    <w:basedOn w:val="Normal"/>
    <w:next w:val="Normal"/>
    <w:uiPriority w:val="11"/>
    <w:semiHidden/>
    <w:qFormat/>
    <w:rsid w:val="00840060"/>
    <w:pPr>
      <w:widowControl w:val="0"/>
      <w:spacing w:after="0"/>
    </w:pPr>
    <w:rPr>
      <w:sz w:val="6"/>
      <w:szCs w:val="6"/>
    </w:rPr>
  </w:style>
  <w:style w:type="paragraph" w:customStyle="1" w:styleId="AppendixFigureTitle">
    <w:name w:val="Appendix FigureTitle"/>
    <w:basedOn w:val="FigureTitle"/>
    <w:uiPriority w:val="20"/>
    <w:qFormat/>
    <w:rsid w:val="00A606FC"/>
    <w:pPr>
      <w:numPr>
        <w:ilvl w:val="3"/>
        <w:numId w:val="26"/>
      </w:numPr>
    </w:pPr>
  </w:style>
  <w:style w:type="paragraph" w:customStyle="1" w:styleId="AppendixHeading5">
    <w:name w:val="Appendix Heading 5"/>
    <w:basedOn w:val="Normal"/>
    <w:uiPriority w:val="18"/>
    <w:qFormat/>
    <w:rsid w:val="00A606FC"/>
    <w:pPr>
      <w:numPr>
        <w:ilvl w:val="1"/>
        <w:numId w:val="26"/>
      </w:numPr>
    </w:pPr>
  </w:style>
  <w:style w:type="paragraph" w:customStyle="1" w:styleId="AppendixTableTitle">
    <w:name w:val="Appendix TableTitle"/>
    <w:basedOn w:val="TableTitle"/>
    <w:uiPriority w:val="19"/>
    <w:qFormat/>
    <w:rsid w:val="00A606FC"/>
    <w:pPr>
      <w:numPr>
        <w:ilvl w:val="2"/>
        <w:numId w:val="26"/>
      </w:numPr>
    </w:pPr>
  </w:style>
  <w:style w:type="paragraph" w:customStyle="1" w:styleId="Bullets">
    <w:name w:val="Bullets"/>
    <w:basedOn w:val="BodyText0"/>
    <w:uiPriority w:val="19"/>
    <w:semiHidden/>
    <w:rsid w:val="00AF2717"/>
    <w:pPr>
      <w:numPr>
        <w:numId w:val="14"/>
      </w:numPr>
      <w:tabs>
        <w:tab w:val="left" w:pos="648"/>
      </w:tabs>
      <w:spacing w:after="360"/>
    </w:pPr>
    <w:rPr>
      <w:rFonts w:ascii="Garamond" w:hAnsi="Garamond" w:cs="Times New Roman"/>
      <w:b w:val="0"/>
      <w:bCs w:val="0"/>
      <w:sz w:val="24"/>
    </w:rPr>
  </w:style>
  <w:style w:type="paragraph" w:customStyle="1" w:styleId="TableText">
    <w:name w:val="Table Text"/>
    <w:link w:val="TableTextCharChar"/>
    <w:uiPriority w:val="12"/>
    <w:rsid w:val="00FF2B83"/>
    <w:pPr>
      <w:spacing w:after="0" w:line="240" w:lineRule="auto"/>
      <w:ind w:left="85" w:right="85"/>
    </w:pPr>
    <w:rPr>
      <w:rFonts w:ascii="Calibri" w:eastAsia="Times New Roman" w:hAnsi="Calibri" w:cs="Times New Roman"/>
      <w:color w:val="000000"/>
    </w:rPr>
  </w:style>
  <w:style w:type="character" w:customStyle="1" w:styleId="TableTextCharChar">
    <w:name w:val="Table Text Char Char"/>
    <w:link w:val="TableText"/>
    <w:uiPriority w:val="12"/>
    <w:rsid w:val="006B5418"/>
    <w:rPr>
      <w:rFonts w:ascii="Calibri" w:eastAsia="Times New Roman" w:hAnsi="Calibri" w:cs="Times New Roman"/>
      <w:color w:val="000000"/>
    </w:rPr>
  </w:style>
  <w:style w:type="paragraph" w:customStyle="1" w:styleId="Default">
    <w:name w:val="Default"/>
    <w:uiPriority w:val="19"/>
    <w:semiHidden/>
    <w:rsid w:val="00AF2717"/>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customStyle="1" w:styleId="DocSubTitle">
    <w:name w:val="DocSubTitle"/>
    <w:basedOn w:val="Normal"/>
    <w:uiPriority w:val="19"/>
    <w:semiHidden/>
    <w:qFormat/>
    <w:rsid w:val="00382185"/>
    <w:pPr>
      <w:spacing w:after="0"/>
      <w:jc w:val="center"/>
    </w:pPr>
    <w:rPr>
      <w:rFonts w:ascii="Candara" w:hAnsi="Candara"/>
      <w:color w:val="75706E" w:themeColor="text1" w:themeShade="BF"/>
      <w:sz w:val="36"/>
    </w:rPr>
  </w:style>
  <w:style w:type="paragraph" w:customStyle="1" w:styleId="DocTitle">
    <w:name w:val="DocTitle"/>
    <w:basedOn w:val="Normal"/>
    <w:uiPriority w:val="19"/>
    <w:semiHidden/>
    <w:qFormat/>
    <w:rsid w:val="00365395"/>
    <w:pPr>
      <w:spacing w:after="0"/>
      <w:jc w:val="center"/>
    </w:pPr>
    <w:rPr>
      <w:rFonts w:ascii="Tahoma" w:hAnsi="Tahoma"/>
      <w:color w:val="75706E" w:themeColor="text1" w:themeShade="BF"/>
      <w:sz w:val="36"/>
    </w:rPr>
  </w:style>
  <w:style w:type="paragraph" w:customStyle="1" w:styleId="ExecSumm1">
    <w:name w:val="Exec Summ 1"/>
    <w:basedOn w:val="Heading1"/>
    <w:next w:val="ExecSummPara"/>
    <w:uiPriority w:val="19"/>
    <w:rsid w:val="0067266A"/>
    <w:pPr>
      <w:numPr>
        <w:numId w:val="0"/>
      </w:numPr>
      <w:ind w:left="680"/>
    </w:pPr>
  </w:style>
  <w:style w:type="paragraph" w:customStyle="1" w:styleId="ExecSumm2">
    <w:name w:val="Exec Summ 2"/>
    <w:basedOn w:val="Heading2"/>
    <w:next w:val="ExecSummPara"/>
    <w:uiPriority w:val="19"/>
    <w:rsid w:val="0067266A"/>
    <w:rPr>
      <w:bCs w:val="0"/>
      <w:iCs w:val="0"/>
    </w:rPr>
  </w:style>
  <w:style w:type="paragraph" w:customStyle="1" w:styleId="Execsummbullet">
    <w:name w:val="Exec summ bullet"/>
    <w:basedOn w:val="Normal"/>
    <w:uiPriority w:val="19"/>
    <w:semiHidden/>
    <w:rsid w:val="005A1BA9"/>
    <w:pPr>
      <w:numPr>
        <w:ilvl w:val="1"/>
        <w:numId w:val="34"/>
      </w:numPr>
      <w:spacing w:line="280" w:lineRule="atLeast"/>
    </w:pPr>
  </w:style>
  <w:style w:type="paragraph" w:customStyle="1" w:styleId="ExecSummPara">
    <w:name w:val="Exec Summ Para"/>
    <w:basedOn w:val="Normal"/>
    <w:uiPriority w:val="19"/>
    <w:semiHidden/>
    <w:rsid w:val="005A1BA9"/>
    <w:pPr>
      <w:numPr>
        <w:numId w:val="34"/>
      </w:numPr>
    </w:pPr>
  </w:style>
  <w:style w:type="paragraph" w:customStyle="1" w:styleId="FooterInfo">
    <w:name w:val="FooterInfo"/>
    <w:basedOn w:val="Footer"/>
    <w:uiPriority w:val="19"/>
    <w:semiHidden/>
    <w:qFormat/>
    <w:rsid w:val="00AF2717"/>
    <w:pPr>
      <w:spacing w:line="240" w:lineRule="auto"/>
      <w:jc w:val="left"/>
    </w:pPr>
    <w:rPr>
      <w:sz w:val="18"/>
    </w:rPr>
  </w:style>
  <w:style w:type="numbering" w:customStyle="1" w:styleId="NumbLstExecSumm">
    <w:name w:val="NumbLstExecSumm"/>
    <w:uiPriority w:val="99"/>
    <w:rsid w:val="001015E8"/>
    <w:pPr>
      <w:numPr>
        <w:numId w:val="21"/>
      </w:numPr>
    </w:pPr>
  </w:style>
  <w:style w:type="paragraph" w:customStyle="1" w:styleId="Heading5NoNumb">
    <w:name w:val="Heading 5NoNumb"/>
    <w:basedOn w:val="Heading5"/>
    <w:uiPriority w:val="20"/>
    <w:qFormat/>
    <w:rsid w:val="00AF2717"/>
    <w:pPr>
      <w:numPr>
        <w:ilvl w:val="0"/>
        <w:numId w:val="0"/>
      </w:numPr>
      <w:ind w:left="680"/>
    </w:pPr>
  </w:style>
  <w:style w:type="paragraph" w:customStyle="1" w:styleId="Level1subhead">
    <w:name w:val="Level 1 subhead"/>
    <w:basedOn w:val="Normal"/>
    <w:next w:val="Heading2"/>
    <w:uiPriority w:val="19"/>
    <w:semiHidden/>
    <w:rsid w:val="00AF2717"/>
    <w:pPr>
      <w:widowControl w:val="0"/>
      <w:spacing w:after="360"/>
    </w:pPr>
    <w:rPr>
      <w:rFonts w:ascii="Arial" w:hAnsi="Arial"/>
      <w:b/>
    </w:rPr>
  </w:style>
  <w:style w:type="numbering" w:customStyle="1" w:styleId="NumbLstAppendix">
    <w:name w:val="NumbLstAppendix"/>
    <w:uiPriority w:val="99"/>
    <w:rsid w:val="00A606FC"/>
    <w:pPr>
      <w:numPr>
        <w:numId w:val="15"/>
      </w:numPr>
    </w:pPr>
  </w:style>
  <w:style w:type="numbering" w:customStyle="1" w:styleId="NumbLstBullets">
    <w:name w:val="NumbLstBullets"/>
    <w:uiPriority w:val="99"/>
    <w:rsid w:val="00F23A76"/>
    <w:pPr>
      <w:numPr>
        <w:numId w:val="16"/>
      </w:numPr>
    </w:pPr>
  </w:style>
  <w:style w:type="numbering" w:customStyle="1" w:styleId="NumbLstKeyMess">
    <w:name w:val="NumbLstKeyMess"/>
    <w:uiPriority w:val="99"/>
    <w:rsid w:val="00AF2717"/>
    <w:pPr>
      <w:numPr>
        <w:numId w:val="17"/>
      </w:numPr>
    </w:pPr>
  </w:style>
  <w:style w:type="table" w:customStyle="1" w:styleId="RegenerisTable">
    <w:name w:val="Regeneris Table"/>
    <w:basedOn w:val="TableNormal"/>
    <w:rsid w:val="00AF2717"/>
    <w:pPr>
      <w:spacing w:after="0" w:line="240" w:lineRule="auto"/>
    </w:pPr>
    <w:rPr>
      <w:rFonts w:ascii="Calibri" w:eastAsia="Times New Roman" w:hAnsi="Calibri" w:cs="Times New Roman"/>
      <w:lang w:eastAsia="en-GB"/>
    </w:rPr>
    <w:tblPr>
      <w:tblInd w:w="754" w:type="dxa"/>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CellMar>
        <w:left w:w="34" w:type="dxa"/>
      </w:tblCellMar>
    </w:tblPr>
    <w:tblStylePr w:type="firstRow">
      <w:rPr>
        <w:color w:val="auto"/>
      </w:rPr>
      <w:tblPr/>
      <w:tcPr>
        <w:tcBorders>
          <w:top w:val="single" w:sz="8" w:space="0" w:color="FF9900"/>
          <w:left w:val="single" w:sz="8" w:space="0" w:color="FF9900"/>
          <w:bottom w:val="single" w:sz="8" w:space="0" w:color="FF9900"/>
          <w:right w:val="single" w:sz="8" w:space="0" w:color="FF9900"/>
          <w:insideH w:val="single" w:sz="8" w:space="0" w:color="FF9900"/>
          <w:insideV w:val="single" w:sz="8" w:space="0" w:color="FF9900"/>
          <w:tl2br w:val="nil"/>
          <w:tr2bl w:val="nil"/>
        </w:tcBorders>
        <w:shd w:val="clear" w:color="auto" w:fill="E6E6E6"/>
      </w:tcPr>
    </w:tblStylePr>
  </w:style>
  <w:style w:type="paragraph" w:customStyle="1" w:styleId="Subheading">
    <w:name w:val="Sub heading"/>
    <w:next w:val="Heading2"/>
    <w:uiPriority w:val="19"/>
    <w:semiHidden/>
    <w:rsid w:val="00AF2717"/>
    <w:pPr>
      <w:keepNext/>
      <w:overflowPunct w:val="0"/>
      <w:autoSpaceDE w:val="0"/>
      <w:autoSpaceDN w:val="0"/>
      <w:adjustRightInd w:val="0"/>
      <w:spacing w:before="120" w:after="120" w:line="360" w:lineRule="auto"/>
      <w:ind w:left="720"/>
      <w:jc w:val="both"/>
      <w:textAlignment w:val="baseline"/>
    </w:pPr>
    <w:rPr>
      <w:rFonts w:eastAsia="Times New Roman" w:cs="Times New Roman"/>
      <w:b/>
      <w:sz w:val="22"/>
    </w:rPr>
  </w:style>
  <w:style w:type="paragraph" w:customStyle="1" w:styleId="TableHeading">
    <w:name w:val="Table Heading"/>
    <w:basedOn w:val="TableText"/>
    <w:uiPriority w:val="12"/>
    <w:qFormat/>
    <w:rsid w:val="00AF2717"/>
    <w:pPr>
      <w:jc w:val="center"/>
    </w:pPr>
  </w:style>
  <w:style w:type="paragraph" w:customStyle="1" w:styleId="TableorGraphic">
    <w:name w:val="Table or Graphic"/>
    <w:basedOn w:val="Normal"/>
    <w:uiPriority w:val="19"/>
    <w:semiHidden/>
    <w:rsid w:val="00AF2717"/>
    <w:pPr>
      <w:keepNext/>
      <w:spacing w:before="60" w:after="60"/>
    </w:pPr>
    <w:rPr>
      <w:rFonts w:ascii="Arial" w:hAnsi="Arial"/>
      <w:sz w:val="18"/>
    </w:rPr>
  </w:style>
  <w:style w:type="paragraph" w:customStyle="1" w:styleId="TableSource">
    <w:name w:val="Table Source"/>
    <w:basedOn w:val="FigureSource"/>
    <w:uiPriority w:val="13"/>
    <w:qFormat/>
    <w:rsid w:val="00B64A5D"/>
    <w:pPr>
      <w:spacing w:after="240"/>
      <w:ind w:left="765"/>
    </w:pPr>
    <w:rPr>
      <w:sz w:val="18"/>
    </w:rPr>
  </w:style>
  <w:style w:type="paragraph" w:customStyle="1" w:styleId="TableTitleInTable">
    <w:name w:val="Table TitleInTable"/>
    <w:basedOn w:val="TableTitle"/>
    <w:uiPriority w:val="19"/>
    <w:qFormat/>
    <w:rsid w:val="005412E4"/>
    <w:pPr>
      <w:numPr>
        <w:ilvl w:val="0"/>
        <w:numId w:val="0"/>
      </w:numPr>
      <w:pBdr>
        <w:top w:val="none" w:sz="0" w:space="0" w:color="auto"/>
        <w:bottom w:val="none" w:sz="0" w:space="0" w:color="auto"/>
      </w:pBdr>
      <w:shd w:val="clear" w:color="auto" w:fill="auto"/>
      <w:spacing w:before="40" w:after="40"/>
      <w:ind w:left="57" w:right="0"/>
    </w:pPr>
  </w:style>
  <w:style w:type="paragraph" w:customStyle="1" w:styleId="TextBox">
    <w:name w:val="Text Box"/>
    <w:basedOn w:val="Normal"/>
    <w:uiPriority w:val="19"/>
    <w:semiHidden/>
    <w:rsid w:val="00AF2717"/>
    <w:pPr>
      <w:pBdr>
        <w:top w:val="single" w:sz="8" w:space="1" w:color="FF9900"/>
        <w:left w:val="single" w:sz="8" w:space="0" w:color="FF9900"/>
        <w:bottom w:val="single" w:sz="8" w:space="1" w:color="FF9900"/>
        <w:right w:val="single" w:sz="8" w:space="4" w:color="FF9900"/>
      </w:pBdr>
      <w:shd w:val="clear" w:color="auto" w:fill="E6E6E6"/>
      <w:ind w:left="755"/>
    </w:pPr>
    <w:rPr>
      <w:bCs/>
    </w:rPr>
  </w:style>
  <w:style w:type="table" w:customStyle="1" w:styleId="TableGridLight1">
    <w:name w:val="Table Grid Light1"/>
    <w:basedOn w:val="TableNormal"/>
    <w:uiPriority w:val="40"/>
    <w:rsid w:val="006220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cDate">
    <w:name w:val="DocDate"/>
    <w:basedOn w:val="DocTitle"/>
    <w:uiPriority w:val="19"/>
    <w:semiHidden/>
    <w:qFormat/>
    <w:rsid w:val="00284A93"/>
    <w:rPr>
      <w:noProof/>
      <w:sz w:val="24"/>
      <w:lang w:eastAsia="en-GB"/>
    </w:rPr>
  </w:style>
  <w:style w:type="paragraph" w:customStyle="1" w:styleId="DocWeb">
    <w:name w:val="DocWeb"/>
    <w:basedOn w:val="DocDate"/>
    <w:uiPriority w:val="19"/>
    <w:semiHidden/>
    <w:qFormat/>
    <w:rsid w:val="00284A93"/>
    <w:rPr>
      <w:color w:val="CE7628"/>
    </w:rPr>
  </w:style>
  <w:style w:type="paragraph" w:customStyle="1" w:styleId="TableNumber">
    <w:name w:val="Table Number"/>
    <w:basedOn w:val="TableText"/>
    <w:uiPriority w:val="13"/>
    <w:qFormat/>
    <w:rsid w:val="00430CF2"/>
    <w:pPr>
      <w:ind w:right="284"/>
      <w:jc w:val="right"/>
    </w:pPr>
  </w:style>
  <w:style w:type="paragraph" w:customStyle="1" w:styleId="TableNumberNeg">
    <w:name w:val="Table Number Neg"/>
    <w:basedOn w:val="TableNumber"/>
    <w:uiPriority w:val="13"/>
    <w:qFormat/>
    <w:rsid w:val="00430CF2"/>
    <w:pPr>
      <w:ind w:right="215"/>
    </w:pPr>
  </w:style>
  <w:style w:type="paragraph" w:customStyle="1" w:styleId="Source">
    <w:name w:val="Source"/>
    <w:basedOn w:val="Normal"/>
    <w:uiPriority w:val="19"/>
    <w:semiHidden/>
    <w:qFormat/>
    <w:rsid w:val="005412E4"/>
    <w:pPr>
      <w:spacing w:before="60" w:after="120"/>
      <w:ind w:left="57"/>
      <w:jc w:val="left"/>
    </w:pPr>
    <w:rPr>
      <w:rFonts w:cs="Arial"/>
      <w:color w:val="000000"/>
      <w:sz w:val="16"/>
      <w:szCs w:val="16"/>
    </w:rPr>
  </w:style>
  <w:style w:type="paragraph" w:customStyle="1" w:styleId="DocBPText">
    <w:name w:val="DocBPText"/>
    <w:basedOn w:val="Normal"/>
    <w:uiPriority w:val="21"/>
    <w:semiHidden/>
    <w:qFormat/>
    <w:rsid w:val="00461970"/>
    <w:pPr>
      <w:spacing w:after="120"/>
      <w:contextualSpacing/>
    </w:pPr>
    <w:rPr>
      <w:lang w:eastAsia="en-GB"/>
    </w:rPr>
  </w:style>
  <w:style w:type="paragraph" w:customStyle="1" w:styleId="DocBPTitle">
    <w:name w:val="DocBPTitle"/>
    <w:basedOn w:val="DocBPText"/>
    <w:uiPriority w:val="21"/>
    <w:semiHidden/>
    <w:qFormat/>
    <w:rsid w:val="00461970"/>
    <w:pPr>
      <w:spacing w:after="0"/>
    </w:pPr>
    <w:rPr>
      <w:b/>
      <w:color w:val="CE7628"/>
    </w:rPr>
  </w:style>
  <w:style w:type="paragraph" w:customStyle="1" w:styleId="FooterAppPgNo">
    <w:name w:val="FooterAppPgNo"/>
    <w:basedOn w:val="Footer"/>
    <w:uiPriority w:val="29"/>
    <w:semiHidden/>
    <w:qFormat/>
    <w:rsid w:val="00F127BA"/>
    <w:pPr>
      <w:ind w:left="-1418"/>
    </w:pPr>
    <w:rPr>
      <w:noProof/>
      <w:lang w:eastAsia="en-GB"/>
    </w:rPr>
  </w:style>
  <w:style w:type="paragraph" w:customStyle="1" w:styleId="FooterAppPgNoLand">
    <w:name w:val="FooterAppPgNoLand"/>
    <w:basedOn w:val="FooterAppPgNo"/>
    <w:uiPriority w:val="29"/>
    <w:semiHidden/>
    <w:qFormat/>
    <w:rsid w:val="00F821EE"/>
    <w:pPr>
      <w:ind w:left="-1928"/>
    </w:pPr>
  </w:style>
  <w:style w:type="paragraph" w:customStyle="1" w:styleId="TableBullet">
    <w:name w:val="Table Bullet"/>
    <w:basedOn w:val="TableText"/>
    <w:uiPriority w:val="13"/>
    <w:qFormat/>
    <w:rsid w:val="00430CF2"/>
    <w:pPr>
      <w:numPr>
        <w:numId w:val="23"/>
      </w:numPr>
    </w:pPr>
  </w:style>
  <w:style w:type="numbering" w:customStyle="1" w:styleId="NumbLstTable">
    <w:name w:val="NumbLstTable"/>
    <w:uiPriority w:val="99"/>
    <w:rsid w:val="00430CF2"/>
    <w:pPr>
      <w:numPr>
        <w:numId w:val="22"/>
      </w:numPr>
    </w:pPr>
  </w:style>
  <w:style w:type="paragraph" w:customStyle="1" w:styleId="ExecSummTableTitle">
    <w:name w:val="Exec Summ Table Title"/>
    <w:basedOn w:val="TableTitle"/>
    <w:next w:val="ExecSummPara"/>
    <w:uiPriority w:val="19"/>
    <w:qFormat/>
    <w:rsid w:val="005A1BA9"/>
    <w:pPr>
      <w:numPr>
        <w:ilvl w:val="2"/>
        <w:numId w:val="34"/>
      </w:numPr>
    </w:pPr>
  </w:style>
  <w:style w:type="paragraph" w:customStyle="1" w:styleId="NormalFigures">
    <w:name w:val="NormalFigures"/>
    <w:basedOn w:val="NormalNoSpace"/>
    <w:uiPriority w:val="19"/>
    <w:qFormat/>
    <w:rsid w:val="008B170E"/>
    <w:pPr>
      <w:keepNext/>
      <w:spacing w:before="120" w:after="120"/>
    </w:pPr>
    <w:rPr>
      <w:lang w:eastAsia="en-GB"/>
    </w:rPr>
  </w:style>
  <w:style w:type="table" w:customStyle="1" w:styleId="TableGrid10">
    <w:name w:val="Table Grid1"/>
    <w:basedOn w:val="TableNormal"/>
    <w:next w:val="TableGrid"/>
    <w:uiPriority w:val="59"/>
    <w:rsid w:val="00CE3713"/>
    <w:pPr>
      <w:spacing w:after="0" w:line="240" w:lineRule="auto"/>
    </w:pPr>
    <w:rPr>
      <w:rFonts w:eastAsia="Calibri" w:cs="Times New Roman"/>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Main1">
    <w:name w:val="NumbLstMain1"/>
    <w:uiPriority w:val="99"/>
    <w:rsid w:val="00AC5BE0"/>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243210">
      <w:bodyDiv w:val="1"/>
      <w:marLeft w:val="0"/>
      <w:marRight w:val="0"/>
      <w:marTop w:val="0"/>
      <w:marBottom w:val="0"/>
      <w:divBdr>
        <w:top w:val="none" w:sz="0" w:space="0" w:color="auto"/>
        <w:left w:val="none" w:sz="0" w:space="0" w:color="auto"/>
        <w:bottom w:val="none" w:sz="0" w:space="0" w:color="auto"/>
        <w:right w:val="none" w:sz="0" w:space="0" w:color="auto"/>
      </w:divBdr>
    </w:div>
    <w:div w:id="1040085056">
      <w:bodyDiv w:val="1"/>
      <w:marLeft w:val="0"/>
      <w:marRight w:val="0"/>
      <w:marTop w:val="0"/>
      <w:marBottom w:val="0"/>
      <w:divBdr>
        <w:top w:val="none" w:sz="0" w:space="0" w:color="auto"/>
        <w:left w:val="none" w:sz="0" w:space="0" w:color="auto"/>
        <w:bottom w:val="none" w:sz="0" w:space="0" w:color="auto"/>
        <w:right w:val="none" w:sz="0" w:space="0" w:color="auto"/>
      </w:divBdr>
    </w:div>
    <w:div w:id="1352532096">
      <w:bodyDiv w:val="1"/>
      <w:marLeft w:val="0"/>
      <w:marRight w:val="0"/>
      <w:marTop w:val="0"/>
      <w:marBottom w:val="0"/>
      <w:divBdr>
        <w:top w:val="none" w:sz="0" w:space="0" w:color="auto"/>
        <w:left w:val="none" w:sz="0" w:space="0" w:color="auto"/>
        <w:bottom w:val="none" w:sz="0" w:space="0" w:color="auto"/>
        <w:right w:val="none" w:sz="0" w:space="0" w:color="auto"/>
      </w:divBdr>
    </w:div>
    <w:div w:id="208641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en%20Nicol\Documents\Custom%20Office%20Templates\Note-Nicol%20Economics.dotx" TargetMode="External"/></Relationships>
</file>

<file path=word/theme/theme1.xml><?xml version="1.0" encoding="utf-8"?>
<a:theme xmlns:a="http://schemas.openxmlformats.org/drawingml/2006/main" name="Office Theme">
  <a:themeElements>
    <a:clrScheme name="Regeneris">
      <a:dk1>
        <a:srgbClr val="9B9795"/>
      </a:dk1>
      <a:lt1>
        <a:srgbClr val="FFFFFF"/>
      </a:lt1>
      <a:dk2>
        <a:srgbClr val="CE7628"/>
      </a:dk2>
      <a:lt2>
        <a:srgbClr val="FFFFFF"/>
      </a:lt2>
      <a:accent1>
        <a:srgbClr val="9B9795"/>
      </a:accent1>
      <a:accent2>
        <a:srgbClr val="CE7628"/>
      </a:accent2>
      <a:accent3>
        <a:srgbClr val="497537"/>
      </a:accent3>
      <a:accent4>
        <a:srgbClr val="A19836"/>
      </a:accent4>
      <a:accent5>
        <a:srgbClr val="753749"/>
      </a:accent5>
      <a:accent6>
        <a:srgbClr val="F1AF1A"/>
      </a:accent6>
      <a:hlink>
        <a:srgbClr val="497537"/>
      </a:hlink>
      <a:folHlink>
        <a:srgbClr val="49753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A0111-D961-420A-AB37-7A132AD49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Note-Nicol Economics</Template>
  <TotalTime>54</TotalTime>
  <Pages>30</Pages>
  <Words>7701</Words>
  <Characters>43900</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Nicol Economics Note</vt:lpstr>
    </vt:vector>
  </TitlesOfParts>
  <Company>Cumbria County Council</Company>
  <LinksUpToDate>false</LinksUpToDate>
  <CharactersWithSpaces>51499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Nicol Economics Note</dc:title>
  <dc:creator>Stephen Nicol</dc:creator>
  <cp:lastModifiedBy>Lappin, Jo</cp:lastModifiedBy>
  <cp:revision>5</cp:revision>
  <dcterms:created xsi:type="dcterms:W3CDTF">2019-05-08T15:11:00Z</dcterms:created>
  <dcterms:modified xsi:type="dcterms:W3CDTF">2019-05-29T13:42:00Z</dcterms:modified>
</cp:coreProperties>
</file>